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kern w:val="0"/>
          <w:sz w:val="36"/>
          <w:szCs w:val="36"/>
        </w:rPr>
      </w:pPr>
    </w:p>
    <w:p>
      <w:pPr>
        <w:pStyle w:val="2"/>
        <w:ind w:left="1260"/>
      </w:pPr>
    </w:p>
    <w:p/>
    <w:p>
      <w:pPr>
        <w:pStyle w:val="2"/>
        <w:ind w:left="1260"/>
      </w:pPr>
    </w:p>
    <w:p/>
    <w:p>
      <w:pPr>
        <w:pStyle w:val="2"/>
        <w:ind w:left="1260"/>
      </w:pPr>
    </w:p>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竞争性谈判</w:t>
      </w:r>
      <w:r>
        <w:rPr>
          <w:rFonts w:ascii="Times New Roman" w:hAnsi="Times New Roman" w:eastAsia="方正小标宋简体" w:cs="Times New Roman"/>
          <w:kern w:val="0"/>
          <w:sz w:val="84"/>
          <w:szCs w:val="84"/>
        </w:rPr>
        <w:t>文件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pStyle w:val="2"/>
        <w:ind w:left="1260"/>
      </w:pPr>
    </w:p>
    <w:p>
      <w:pPr>
        <w:rPr>
          <w:rFonts w:ascii="Times New Roman" w:hAnsi="Times New Roman" w:eastAsia="华文中宋" w:cs="Times New Roman"/>
          <w:kern w:val="0"/>
          <w:sz w:val="36"/>
          <w:szCs w:val="36"/>
        </w:rPr>
      </w:pPr>
    </w:p>
    <w:p>
      <w:pPr>
        <w:tabs>
          <w:tab w:val="left" w:pos="900"/>
        </w:tabs>
        <w:snapToGrid w:val="0"/>
        <w:spacing w:line="360" w:lineRule="auto"/>
        <w:ind w:left="2240" w:leftChars="400" w:hanging="1400" w:hangingChars="500"/>
        <w:jc w:val="left"/>
        <w:rPr>
          <w:rFonts w:ascii="宋体" w:hAnsi="宋体" w:eastAsia="宋体" w:cs="Times New Roman"/>
          <w:kern w:val="0"/>
          <w:sz w:val="28"/>
          <w:szCs w:val="28"/>
          <w:u w:val="single"/>
        </w:rPr>
      </w:pPr>
      <w:r>
        <w:rPr>
          <w:rFonts w:hint="eastAsia" w:ascii="宋体" w:hAnsi="宋体" w:eastAsia="宋体" w:cs="Times New Roman"/>
          <w:kern w:val="0"/>
          <w:sz w:val="28"/>
          <w:szCs w:val="28"/>
        </w:rPr>
        <w:t>项目名称：</w:t>
      </w:r>
      <w:r>
        <w:rPr>
          <w:rFonts w:hint="eastAsia" w:ascii="宋体" w:hAnsi="宋体" w:eastAsia="宋体" w:cs="Times New Roman"/>
          <w:kern w:val="0"/>
          <w:sz w:val="28"/>
          <w:szCs w:val="28"/>
          <w:u w:val="single"/>
        </w:rPr>
        <w:t>安徽省永丰粮食购销有限公司2.5万吨粮食仓储设施项目机械通风设备采购及安装工程</w:t>
      </w:r>
    </w:p>
    <w:p>
      <w:pPr>
        <w:pStyle w:val="49"/>
        <w:spacing w:line="360" w:lineRule="auto"/>
        <w:ind w:firstLine="1120" w:firstLineChars="400"/>
        <w:rPr>
          <w:rFonts w:ascii="宋体" w:hAnsi="宋体" w:eastAsia="宋体" w:cs="Times New Roman"/>
          <w:kern w:val="0"/>
          <w:sz w:val="28"/>
          <w:szCs w:val="28"/>
        </w:rPr>
      </w:pPr>
      <w:r>
        <w:rPr>
          <w:rFonts w:hint="eastAsia" w:ascii="宋体" w:hAnsi="宋体" w:eastAsia="宋体" w:cs="Times New Roman"/>
          <w:kern w:val="0"/>
          <w:sz w:val="28"/>
          <w:szCs w:val="28"/>
        </w:rPr>
        <w:t>项目编号：</w:t>
      </w:r>
      <w:r>
        <w:rPr>
          <w:rFonts w:hint="eastAsia" w:ascii="宋体" w:hAnsi="宋体" w:eastAsia="宋体" w:cs="Times New Roman"/>
          <w:kern w:val="0"/>
          <w:sz w:val="28"/>
          <w:szCs w:val="28"/>
          <w:u w:val="single"/>
        </w:rPr>
        <w:t xml:space="preserve">RG </w:t>
      </w:r>
      <w:r>
        <w:rPr>
          <w:rFonts w:ascii="宋体" w:hAnsi="宋体" w:eastAsia="宋体" w:cs="Times New Roman"/>
          <w:kern w:val="0"/>
          <w:sz w:val="28"/>
          <w:szCs w:val="28"/>
          <w:u w:val="single"/>
        </w:rPr>
        <w:t>202</w:t>
      </w:r>
      <w:r>
        <w:rPr>
          <w:rFonts w:hint="eastAsia" w:ascii="宋体" w:hAnsi="宋体" w:eastAsia="宋体" w:cs="Times New Roman"/>
          <w:kern w:val="0"/>
          <w:sz w:val="28"/>
          <w:szCs w:val="28"/>
          <w:u w:val="single"/>
        </w:rPr>
        <w:t>1</w:t>
      </w:r>
      <w:r>
        <w:rPr>
          <w:rFonts w:ascii="宋体" w:hAnsi="宋体" w:eastAsia="宋体" w:cs="Times New Roman"/>
          <w:kern w:val="0"/>
          <w:sz w:val="28"/>
          <w:szCs w:val="28"/>
          <w:u w:val="single"/>
        </w:rPr>
        <w:t>-</w:t>
      </w:r>
      <w:r>
        <w:rPr>
          <w:rFonts w:hint="eastAsia" w:ascii="宋体" w:hAnsi="宋体" w:eastAsia="宋体" w:cs="Times New Roman"/>
          <w:kern w:val="0"/>
          <w:sz w:val="28"/>
          <w:szCs w:val="28"/>
          <w:u w:val="single"/>
        </w:rPr>
        <w:t>1001</w:t>
      </w:r>
    </w:p>
    <w:p>
      <w:pPr>
        <w:ind w:firstLine="2160" w:firstLineChars="600"/>
        <w:rPr>
          <w:rFonts w:ascii="宋体" w:hAnsi="宋体" w:eastAsia="宋体" w:cs="Times New Roman"/>
          <w:kern w:val="0"/>
          <w:sz w:val="36"/>
          <w:szCs w:val="36"/>
        </w:rPr>
      </w:pPr>
    </w:p>
    <w:p>
      <w:pPr>
        <w:rPr>
          <w:rFonts w:ascii="Times New Roman" w:hAnsi="Times New Roman" w:eastAsia="华文中宋" w:cs="Times New Roman"/>
          <w:kern w:val="0"/>
          <w:sz w:val="36"/>
          <w:szCs w:val="36"/>
        </w:rPr>
      </w:pPr>
    </w:p>
    <w:p>
      <w:pPr>
        <w:pStyle w:val="2"/>
        <w:ind w:left="1260"/>
      </w:pPr>
    </w:p>
    <w:p/>
    <w:p>
      <w:pPr>
        <w:pStyle w:val="2"/>
        <w:ind w:left="1260"/>
      </w:pPr>
    </w:p>
    <w:p/>
    <w:p>
      <w:pPr>
        <w:pStyle w:val="2"/>
        <w:ind w:left="1260"/>
      </w:pPr>
    </w:p>
    <w:p/>
    <w:p>
      <w:pPr>
        <w:pStyle w:val="2"/>
        <w:ind w:left="1260"/>
      </w:pPr>
    </w:p>
    <w:p>
      <w:pPr>
        <w:rPr>
          <w:rFonts w:ascii="Times New Roman" w:hAnsi="Times New Roman" w:eastAsia="华文中宋" w:cs="Times New Roman"/>
          <w:kern w:val="0"/>
          <w:sz w:val="36"/>
          <w:szCs w:val="36"/>
        </w:rPr>
      </w:pPr>
    </w:p>
    <w:p>
      <w:pPr>
        <w:ind w:firstLine="1120" w:firstLineChars="400"/>
        <w:rPr>
          <w:rFonts w:ascii="宋体" w:hAnsi="宋体" w:eastAsia="宋体" w:cs="Times New Roman"/>
          <w:color w:val="FF0000"/>
          <w:kern w:val="0"/>
          <w:sz w:val="28"/>
          <w:szCs w:val="28"/>
          <w:u w:val="single"/>
        </w:rPr>
      </w:pPr>
      <w:r>
        <w:rPr>
          <w:rFonts w:hint="eastAsia" w:ascii="宋体" w:hAnsi="宋体" w:eastAsia="宋体" w:cs="Times New Roman"/>
          <w:kern w:val="0"/>
          <w:sz w:val="28"/>
          <w:szCs w:val="28"/>
        </w:rPr>
        <w:t>采   购   人：</w:t>
      </w:r>
      <w:r>
        <w:rPr>
          <w:rFonts w:hint="eastAsia" w:ascii="宋体" w:hAnsi="宋体" w:eastAsia="宋体" w:cs="Times New Roman"/>
          <w:kern w:val="0"/>
          <w:sz w:val="28"/>
          <w:szCs w:val="28"/>
          <w:u w:val="single"/>
        </w:rPr>
        <w:t>安徽省永丰粮食购销有限公司（盖章）</w:t>
      </w:r>
    </w:p>
    <w:p>
      <w:pPr>
        <w:jc w:val="center"/>
        <w:rPr>
          <w:rFonts w:ascii="宋体" w:hAnsi="宋体" w:eastAsia="宋体" w:cs="Times New Roman"/>
          <w:kern w:val="0"/>
          <w:sz w:val="36"/>
          <w:szCs w:val="36"/>
        </w:rPr>
      </w:pPr>
    </w:p>
    <w:p>
      <w:pPr>
        <w:snapToGrid w:val="0"/>
        <w:spacing w:line="360" w:lineRule="auto"/>
        <w:ind w:firstLine="1120" w:firstLineChars="400"/>
        <w:rPr>
          <w:rFonts w:ascii="宋体" w:hAnsi="宋体" w:cs="宋体"/>
          <w:sz w:val="30"/>
          <w:szCs w:val="30"/>
        </w:rPr>
      </w:pPr>
      <w:r>
        <w:rPr>
          <w:rFonts w:hint="eastAsia" w:ascii="宋体" w:hAnsi="宋体" w:eastAsia="宋体" w:cs="Times New Roman"/>
          <w:kern w:val="0"/>
          <w:sz w:val="28"/>
          <w:szCs w:val="28"/>
        </w:rPr>
        <w:t>采购代理机构：</w:t>
      </w:r>
      <w:r>
        <w:rPr>
          <w:rFonts w:hint="eastAsia" w:ascii="宋体" w:hAnsi="宋体" w:eastAsia="宋体" w:cs="Times New Roman"/>
          <w:kern w:val="0"/>
          <w:sz w:val="28"/>
          <w:szCs w:val="28"/>
          <w:u w:val="single"/>
        </w:rPr>
        <w:t>合肥容公工程咨询有限公司</w:t>
      </w:r>
      <w:r>
        <w:rPr>
          <w:rFonts w:hint="eastAsia" w:ascii="宋体" w:hAnsi="宋体" w:eastAsia="宋体" w:cs="Times New Roman"/>
          <w:kern w:val="0"/>
          <w:sz w:val="28"/>
          <w:szCs w:val="28"/>
        </w:rPr>
        <w:t>（盖章）</w:t>
      </w:r>
    </w:p>
    <w:p>
      <w:pPr>
        <w:rPr>
          <w:rFonts w:ascii="宋体" w:hAnsi="宋体" w:eastAsia="宋体" w:cs="Times New Roman"/>
          <w:bCs/>
          <w:spacing w:val="-26"/>
          <w:kern w:val="0"/>
          <w:sz w:val="36"/>
          <w:szCs w:val="36"/>
        </w:rPr>
      </w:pPr>
    </w:p>
    <w:p>
      <w:pPr>
        <w:jc w:val="center"/>
        <w:rPr>
          <w:rFonts w:ascii="宋体" w:hAnsi="宋体" w:eastAsia="宋体" w:cs="Times New Roman"/>
          <w:b/>
          <w:kern w:val="0"/>
          <w:sz w:val="28"/>
          <w:szCs w:val="28"/>
        </w:rPr>
      </w:pPr>
      <w:r>
        <w:rPr>
          <w:rFonts w:ascii="宋体" w:hAnsi="宋体" w:eastAsia="宋体" w:cs="Times New Roman"/>
          <w:b/>
          <w:kern w:val="0"/>
          <w:sz w:val="28"/>
          <w:szCs w:val="28"/>
        </w:rPr>
        <w:t>二〇二一年</w:t>
      </w:r>
      <w:r>
        <w:rPr>
          <w:rFonts w:hint="eastAsia" w:ascii="宋体" w:hAnsi="宋体" w:eastAsia="宋体" w:cs="Times New Roman"/>
          <w:b/>
          <w:kern w:val="0"/>
          <w:sz w:val="28"/>
          <w:szCs w:val="28"/>
        </w:rPr>
        <w:t>十月二十三日</w:t>
      </w:r>
    </w:p>
    <w:p>
      <w:pPr>
        <w:rPr>
          <w:rFonts w:ascii="Times New Roman" w:hAnsi="Times New Roman" w:eastAsia="方正小标宋简体" w:cs="Times New Roman"/>
          <w:bCs/>
          <w:kern w:val="0"/>
          <w:sz w:val="32"/>
          <w:szCs w:val="32"/>
        </w:rPr>
      </w:pPr>
      <w:r>
        <w:rPr>
          <w:rFonts w:ascii="Times New Roman" w:hAnsi="Times New Roman" w:eastAsia="方正小标宋简体" w:cs="Times New Roman"/>
          <w:bCs/>
          <w:kern w:val="0"/>
          <w:sz w:val="32"/>
          <w:szCs w:val="32"/>
        </w:rPr>
        <w:br w:type="page"/>
      </w:r>
    </w:p>
    <w:p>
      <w:pPr>
        <w:spacing w:line="360" w:lineRule="auto"/>
        <w:jc w:val="center"/>
        <w:rPr>
          <w:rFonts w:ascii="Times New Roman" w:hAnsi="Times New Roman" w:eastAsia="方正小标宋简体" w:cs="Times New Roman"/>
          <w:bCs/>
          <w:kern w:val="0"/>
          <w:sz w:val="32"/>
          <w:szCs w:val="32"/>
        </w:rPr>
      </w:pPr>
      <w:r>
        <w:rPr>
          <w:rFonts w:ascii="Times New Roman" w:hAnsi="Times New Roman" w:eastAsia="方正小标宋简体" w:cs="Times New Roman"/>
          <w:bCs/>
          <w:kern w:val="0"/>
          <w:sz w:val="32"/>
          <w:szCs w:val="32"/>
        </w:rPr>
        <w:t>特别提示：注意事项</w:t>
      </w:r>
    </w:p>
    <w:p>
      <w:pPr>
        <w:widowControl/>
        <w:spacing w:line="360" w:lineRule="auto"/>
        <w:ind w:firstLine="480" w:firstLineChars="200"/>
        <w:rPr>
          <w:rFonts w:cs="Times New Roman" w:asciiTheme="minorEastAsia" w:hAnsiTheme="minorEastAsia"/>
          <w:kern w:val="0"/>
          <w:sz w:val="24"/>
          <w:szCs w:val="24"/>
          <w:u w:color="000000"/>
        </w:rPr>
      </w:pPr>
      <w:r>
        <w:rPr>
          <w:rFonts w:hint="eastAsia" w:cs="Times New Roman" w:asciiTheme="minorEastAsia" w:hAnsiTheme="minorEastAsia"/>
          <w:kern w:val="0"/>
          <w:sz w:val="24"/>
          <w:szCs w:val="24"/>
          <w:u w:color="000000"/>
        </w:rPr>
        <w:t>一、供应商应特别留意谈判文件上载明的谈判开始截止时间，提前或逾期送达（含邮寄送达）的响应文件概不接受。</w:t>
      </w:r>
    </w:p>
    <w:p>
      <w:pPr>
        <w:widowControl/>
        <w:spacing w:line="360" w:lineRule="auto"/>
        <w:ind w:firstLine="480" w:firstLineChars="200"/>
        <w:rPr>
          <w:rFonts w:cs="Times New Roman" w:asciiTheme="minorEastAsia" w:hAnsiTheme="minorEastAsia"/>
          <w:snapToGrid w:val="0"/>
          <w:kern w:val="0"/>
          <w:sz w:val="24"/>
          <w:szCs w:val="24"/>
          <w:u w:color="000000"/>
        </w:rPr>
      </w:pPr>
      <w:r>
        <w:rPr>
          <w:rFonts w:hint="eastAsia" w:cs="Times New Roman" w:asciiTheme="minorEastAsia" w:hAnsiTheme="minorEastAsia"/>
          <w:kern w:val="0"/>
          <w:sz w:val="24"/>
          <w:szCs w:val="24"/>
          <w:u w:color="000000"/>
        </w:rPr>
        <w:t>二、</w:t>
      </w:r>
      <w:r>
        <w:rPr>
          <w:rFonts w:hint="eastAsia" w:cs="Times New Roman" w:asciiTheme="minorEastAsia" w:hAnsiTheme="minorEastAsia"/>
          <w:color w:val="000000"/>
          <w:kern w:val="0"/>
          <w:sz w:val="24"/>
          <w:szCs w:val="24"/>
          <w:u w:color="000000"/>
        </w:rPr>
        <w:t>供应商须交纳谈判保证金</w:t>
      </w:r>
      <w:r>
        <w:rPr>
          <w:rFonts w:hint="eastAsia" w:cs="Times New Roman" w:asciiTheme="minorEastAsia" w:hAnsiTheme="minorEastAsia"/>
          <w:kern w:val="0"/>
          <w:sz w:val="24"/>
          <w:szCs w:val="24"/>
          <w:u w:color="000000"/>
        </w:rPr>
        <w:t>，保证金</w:t>
      </w:r>
      <w:r>
        <w:rPr>
          <w:rFonts w:hint="eastAsia" w:cs="Times New Roman" w:asciiTheme="minorEastAsia" w:hAnsiTheme="minorEastAsia"/>
          <w:snapToGrid w:val="0"/>
          <w:kern w:val="0"/>
          <w:sz w:val="24"/>
          <w:szCs w:val="24"/>
          <w:u w:color="000000"/>
        </w:rPr>
        <w:t>应在投标截止时间前以非现金形式提交。未按规定提交保证金的，投标无效。</w:t>
      </w:r>
    </w:p>
    <w:p>
      <w:pPr>
        <w:widowControl/>
        <w:spacing w:line="360" w:lineRule="auto"/>
        <w:ind w:firstLine="480" w:firstLineChars="200"/>
        <w:rPr>
          <w:rFonts w:cs="Times New Roman" w:asciiTheme="minorEastAsia" w:hAnsiTheme="minorEastAsia"/>
          <w:kern w:val="0"/>
          <w:sz w:val="24"/>
          <w:szCs w:val="24"/>
          <w:u w:color="000000"/>
        </w:rPr>
      </w:pPr>
      <w:r>
        <w:rPr>
          <w:rFonts w:hint="eastAsia" w:cs="Times New Roman" w:asciiTheme="minorEastAsia" w:hAnsiTheme="minorEastAsia"/>
          <w:snapToGrid w:val="0"/>
          <w:kern w:val="0"/>
          <w:sz w:val="24"/>
          <w:szCs w:val="24"/>
          <w:u w:color="000000"/>
        </w:rPr>
        <w:t>三、</w:t>
      </w:r>
      <w:r>
        <w:rPr>
          <w:rFonts w:hint="eastAsia" w:cs="Times New Roman" w:asciiTheme="minorEastAsia" w:hAnsiTheme="minorEastAsia"/>
          <w:kern w:val="0"/>
          <w:sz w:val="24"/>
          <w:szCs w:val="24"/>
          <w:u w:color="000000"/>
        </w:rPr>
        <w:t>请仔细检查谈判文件要求提交的相关证书的有效期和审核信息。</w:t>
      </w:r>
    </w:p>
    <w:p>
      <w:pPr>
        <w:widowControl/>
        <w:spacing w:line="360" w:lineRule="auto"/>
        <w:ind w:firstLine="480" w:firstLineChars="200"/>
        <w:rPr>
          <w:rFonts w:cs="Times New Roman" w:asciiTheme="minorEastAsia" w:hAnsiTheme="minorEastAsia"/>
          <w:kern w:val="0"/>
          <w:sz w:val="24"/>
          <w:szCs w:val="24"/>
          <w:u w:color="000000"/>
        </w:rPr>
      </w:pPr>
      <w:r>
        <w:rPr>
          <w:rFonts w:hint="eastAsia" w:cs="Times New Roman" w:asciiTheme="minorEastAsia" w:hAnsiTheme="minorEastAsia"/>
          <w:kern w:val="0"/>
          <w:sz w:val="24"/>
          <w:szCs w:val="24"/>
          <w:u w:color="000000"/>
        </w:rPr>
        <w:t>四、</w:t>
      </w:r>
      <w:r>
        <w:rPr>
          <w:rFonts w:hint="eastAsia" w:asciiTheme="minorEastAsia" w:hAnsiTheme="minorEastAsia"/>
          <w:kern w:val="0"/>
          <w:sz w:val="24"/>
          <w:szCs w:val="24"/>
        </w:rPr>
        <w:t>请仔细检查响应文件是否按要求盖单位公章、签名、签署日期、胶装成册、密封，响应文件需签名之处必须由当事人签署，否则可能会被视为无效投标</w:t>
      </w:r>
      <w:r>
        <w:rPr>
          <w:rFonts w:hint="eastAsia" w:cs="Times New Roman" w:asciiTheme="minorEastAsia" w:hAnsiTheme="minorEastAsia"/>
          <w:kern w:val="0"/>
          <w:sz w:val="24"/>
          <w:szCs w:val="24"/>
          <w:u w:color="000000"/>
        </w:rPr>
        <w:t>。</w:t>
      </w:r>
    </w:p>
    <w:p>
      <w:pPr>
        <w:widowControl/>
        <w:spacing w:line="360" w:lineRule="auto"/>
        <w:ind w:firstLine="480" w:firstLineChars="200"/>
        <w:rPr>
          <w:rFonts w:asciiTheme="minorEastAsia" w:hAnsiTheme="minorEastAsia"/>
          <w:kern w:val="0"/>
          <w:sz w:val="24"/>
          <w:szCs w:val="24"/>
        </w:rPr>
      </w:pPr>
      <w:r>
        <w:rPr>
          <w:rFonts w:hint="eastAsia" w:asciiTheme="minorEastAsia" w:hAnsiTheme="minorEastAsia"/>
          <w:kern w:val="0"/>
          <w:sz w:val="24"/>
          <w:szCs w:val="24"/>
        </w:rPr>
        <w:t>五、对于带★的技术要求部分，供应商如实提供其响应文件中所提供第三方证明材料：证书、彩页、等的复印件加盖（厂家）公章。</w:t>
      </w:r>
    </w:p>
    <w:p>
      <w:pPr>
        <w:widowControl/>
        <w:spacing w:line="360" w:lineRule="auto"/>
        <w:ind w:firstLine="480" w:firstLineChars="200"/>
        <w:rPr>
          <w:rFonts w:cs="Times New Roman" w:asciiTheme="minorEastAsia" w:hAnsiTheme="minorEastAsia"/>
          <w:kern w:val="0"/>
          <w:sz w:val="24"/>
          <w:szCs w:val="24"/>
          <w:u w:color="000000"/>
        </w:rPr>
      </w:pPr>
      <w:r>
        <w:rPr>
          <w:rFonts w:hint="eastAsia" w:cs="Times New Roman" w:asciiTheme="minorEastAsia" w:hAnsiTheme="minorEastAsia"/>
          <w:kern w:val="0"/>
          <w:sz w:val="24"/>
          <w:szCs w:val="24"/>
          <w:u w:color="000000"/>
        </w:rPr>
        <w:t>六、《价格文件》一式三份，单独装订，密封在一个信封内，在信封表面标明“价格文件”“开标时启封”字样，注明“供应商名称”“项目名称”“项目编号”“包号”等信息，投标时单独递交。供应商如未按上述要求单独递交《价格文件》，其投标有可能被拒绝。</w:t>
      </w:r>
    </w:p>
    <w:p>
      <w:pPr>
        <w:widowControl/>
        <w:spacing w:line="360" w:lineRule="auto"/>
        <w:ind w:firstLine="480" w:firstLineChars="200"/>
        <w:rPr>
          <w:rFonts w:cs="Times New Roman" w:asciiTheme="minorEastAsia" w:hAnsiTheme="minorEastAsia"/>
          <w:kern w:val="0"/>
          <w:sz w:val="24"/>
          <w:szCs w:val="24"/>
          <w:u w:color="000000"/>
        </w:rPr>
      </w:pPr>
      <w:r>
        <w:rPr>
          <w:rFonts w:hint="eastAsia" w:cs="Times New Roman" w:asciiTheme="minorEastAsia" w:hAnsiTheme="minorEastAsia"/>
          <w:kern w:val="0"/>
          <w:sz w:val="24"/>
          <w:szCs w:val="24"/>
          <w:u w:color="000000"/>
        </w:rPr>
        <w:t>七、响应文件中除《价格文件》外，其他部分不得有任何涉及本次投标报价的信息，否则视为无效投标。</w:t>
      </w:r>
    </w:p>
    <w:p>
      <w:pPr>
        <w:widowControl/>
        <w:spacing w:line="360" w:lineRule="auto"/>
        <w:ind w:firstLine="480" w:firstLineChars="200"/>
        <w:rPr>
          <w:rFonts w:cs="Times New Roman" w:asciiTheme="minorEastAsia" w:hAnsiTheme="minorEastAsia"/>
          <w:kern w:val="0"/>
          <w:sz w:val="24"/>
          <w:szCs w:val="24"/>
          <w:u w:color="000000"/>
        </w:rPr>
      </w:pPr>
      <w:r>
        <w:rPr>
          <w:rFonts w:hint="eastAsia" w:cs="Times New Roman" w:asciiTheme="minorEastAsia" w:hAnsiTheme="minorEastAsia"/>
          <w:kern w:val="0"/>
          <w:sz w:val="24"/>
          <w:szCs w:val="24"/>
          <w:u w:color="000000"/>
        </w:rPr>
        <w:t>八、采用综合评分法和性价比法评审时，供应商编制响应文件，应按照谈判文件第五部分附件</w:t>
      </w:r>
      <w:r>
        <w:rPr>
          <w:rFonts w:cs="Times New Roman" w:asciiTheme="minorEastAsia" w:hAnsiTheme="minorEastAsia"/>
          <w:kern w:val="0"/>
          <w:sz w:val="24"/>
          <w:szCs w:val="24"/>
          <w:u w:color="000000"/>
        </w:rPr>
        <w:t>17</w:t>
      </w:r>
      <w:r>
        <w:rPr>
          <w:rFonts w:hint="eastAsia" w:cs="Times New Roman" w:asciiTheme="minorEastAsia" w:hAnsiTheme="minorEastAsia"/>
          <w:kern w:val="0"/>
          <w:sz w:val="24"/>
          <w:szCs w:val="24"/>
          <w:u w:color="000000"/>
        </w:rPr>
        <w:t>、</w:t>
      </w:r>
      <w:r>
        <w:rPr>
          <w:rFonts w:cs="Times New Roman" w:asciiTheme="minorEastAsia" w:hAnsiTheme="minorEastAsia"/>
          <w:kern w:val="0"/>
          <w:sz w:val="24"/>
          <w:szCs w:val="24"/>
          <w:u w:color="000000"/>
        </w:rPr>
        <w:t>18</w:t>
      </w:r>
      <w:r>
        <w:rPr>
          <w:rFonts w:hint="eastAsia" w:cs="Times New Roman" w:asciiTheme="minorEastAsia" w:hAnsiTheme="minorEastAsia"/>
          <w:kern w:val="0"/>
          <w:sz w:val="24"/>
          <w:szCs w:val="24"/>
          <w:u w:color="000000"/>
        </w:rPr>
        <w:t>表格要求，填写指标值或评分项及其在响应文件位置页码；评审时评委依据响应文件，对供应商填写的内容进行审核确认，评审系统按照评委确认的信息自动评分。</w:t>
      </w:r>
    </w:p>
    <w:p>
      <w:pPr>
        <w:widowControl/>
        <w:spacing w:line="360" w:lineRule="auto"/>
        <w:ind w:firstLine="480" w:firstLineChars="200"/>
        <w:rPr>
          <w:rFonts w:cs="Times New Roman" w:asciiTheme="minorEastAsia" w:hAnsiTheme="minorEastAsia"/>
          <w:kern w:val="0"/>
          <w:sz w:val="24"/>
          <w:szCs w:val="24"/>
          <w:u w:color="000000"/>
        </w:rPr>
      </w:pPr>
      <w:r>
        <w:rPr>
          <w:rFonts w:hint="eastAsia" w:cs="Times New Roman" w:asciiTheme="minorEastAsia" w:hAnsiTheme="minorEastAsia"/>
          <w:kern w:val="0"/>
          <w:sz w:val="24"/>
          <w:szCs w:val="24"/>
          <w:u w:color="000000"/>
        </w:rPr>
        <w:t>九、供应商发现购买谈判文件时提交的相关资料被盗用或复制，应遵循法律途径解决，追究侵权者责任。</w:t>
      </w:r>
    </w:p>
    <w:p>
      <w:pPr>
        <w:spacing w:line="360" w:lineRule="auto"/>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44"/>
          <w:szCs w:val="44"/>
        </w:rPr>
        <w:br w:type="page"/>
      </w:r>
      <w:r>
        <w:rPr>
          <w:rFonts w:hint="eastAsia" w:ascii="方正小标宋简体" w:hAnsi="Times New Roman" w:eastAsia="方正小标宋简体" w:cs="Times New Roman"/>
          <w:kern w:val="0"/>
          <w:sz w:val="32"/>
          <w:szCs w:val="32"/>
        </w:rPr>
        <w:t>目 录</w:t>
      </w:r>
    </w:p>
    <w:p>
      <w:pPr>
        <w:rPr>
          <w:rFonts w:ascii="Times New Roman" w:hAnsi="Times New Roman" w:eastAsia="宋体" w:cs="Times New Roman"/>
          <w:kern w:val="0"/>
          <w:sz w:val="36"/>
          <w:szCs w:val="36"/>
        </w:rPr>
      </w:pPr>
    </w:p>
    <w:p>
      <w:pPr>
        <w:jc w:val="distribute"/>
        <w:rPr>
          <w:rFonts w:cs="Times New Roman" w:asciiTheme="minorEastAsia" w:hAnsiTheme="minorEastAsia"/>
          <w:kern w:val="0"/>
          <w:sz w:val="28"/>
          <w:szCs w:val="28"/>
        </w:rPr>
      </w:pPr>
      <w:r>
        <w:rPr>
          <w:rFonts w:hint="eastAsia" w:cs="Times New Roman" w:asciiTheme="minorEastAsia" w:hAnsiTheme="minorEastAsia"/>
          <w:kern w:val="0"/>
          <w:sz w:val="28"/>
          <w:szCs w:val="28"/>
        </w:rPr>
        <w:t>第一部分谈判公告………………………………………………</w:t>
      </w:r>
      <w:r>
        <w:rPr>
          <w:rFonts w:hint="eastAsia" w:cs="Times New Roman" w:asciiTheme="minorEastAsia" w:hAnsiTheme="minorEastAsia"/>
          <w:color w:val="FF0000"/>
          <w:kern w:val="0"/>
          <w:sz w:val="28"/>
          <w:szCs w:val="28"/>
        </w:rPr>
        <w:t>4</w:t>
      </w:r>
    </w:p>
    <w:p>
      <w:pPr>
        <w:jc w:val="distribute"/>
        <w:rPr>
          <w:rFonts w:cs="Times New Roman" w:asciiTheme="minorEastAsia" w:hAnsiTheme="minorEastAsia"/>
          <w:kern w:val="0"/>
          <w:sz w:val="28"/>
          <w:szCs w:val="28"/>
        </w:rPr>
      </w:pPr>
      <w:r>
        <w:rPr>
          <w:rFonts w:hint="eastAsia" w:cs="Times New Roman" w:asciiTheme="minorEastAsia" w:hAnsiTheme="minorEastAsia"/>
          <w:kern w:val="0"/>
          <w:sz w:val="28"/>
          <w:szCs w:val="28"/>
        </w:rPr>
        <w:t>第二部分采购项目技术和商务要求……………………………</w:t>
      </w:r>
      <w:r>
        <w:rPr>
          <w:rFonts w:cs="Times New Roman" w:asciiTheme="minorEastAsia" w:hAnsiTheme="minorEastAsia"/>
          <w:kern w:val="0"/>
          <w:sz w:val="28"/>
          <w:szCs w:val="28"/>
        </w:rPr>
        <w:t>7</w:t>
      </w:r>
    </w:p>
    <w:p>
      <w:pPr>
        <w:jc w:val="distribute"/>
        <w:rPr>
          <w:rFonts w:cs="Times New Roman" w:asciiTheme="minorEastAsia" w:hAnsiTheme="minorEastAsia"/>
          <w:kern w:val="0"/>
          <w:sz w:val="28"/>
          <w:szCs w:val="28"/>
        </w:rPr>
      </w:pPr>
      <w:r>
        <w:rPr>
          <w:rFonts w:hint="eastAsia" w:cs="Times New Roman" w:asciiTheme="minorEastAsia" w:hAnsiTheme="minorEastAsia"/>
          <w:kern w:val="0"/>
          <w:sz w:val="28"/>
          <w:szCs w:val="28"/>
        </w:rPr>
        <w:t>第三部分供应商须知……………………………………………</w:t>
      </w:r>
      <w:r>
        <w:rPr>
          <w:rFonts w:cs="Times New Roman" w:asciiTheme="minorEastAsia" w:hAnsiTheme="minorEastAsia"/>
          <w:color w:val="FF0000"/>
          <w:kern w:val="0"/>
          <w:sz w:val="28"/>
          <w:szCs w:val="28"/>
        </w:rPr>
        <w:t>13</w:t>
      </w:r>
    </w:p>
    <w:p>
      <w:pPr>
        <w:jc w:val="distribute"/>
        <w:rPr>
          <w:rFonts w:cs="Times New Roman" w:asciiTheme="minorEastAsia" w:hAnsiTheme="minorEastAsia"/>
          <w:kern w:val="0"/>
          <w:sz w:val="28"/>
          <w:szCs w:val="28"/>
        </w:rPr>
      </w:pPr>
      <w:r>
        <w:rPr>
          <w:rFonts w:hint="eastAsia" w:cs="Times New Roman" w:asciiTheme="minorEastAsia" w:hAnsiTheme="minorEastAsia"/>
          <w:kern w:val="0"/>
          <w:sz w:val="28"/>
          <w:szCs w:val="28"/>
        </w:rPr>
        <w:t>第四部分合同样本………………………………………………</w:t>
      </w:r>
      <w:r>
        <w:rPr>
          <w:rFonts w:cs="Times New Roman" w:asciiTheme="minorEastAsia" w:hAnsiTheme="minorEastAsia"/>
          <w:kern w:val="0"/>
          <w:sz w:val="28"/>
          <w:szCs w:val="28"/>
        </w:rPr>
        <w:t>3</w:t>
      </w:r>
      <w:r>
        <w:rPr>
          <w:rFonts w:hint="eastAsia" w:cs="Times New Roman" w:asciiTheme="minorEastAsia" w:hAnsiTheme="minorEastAsia"/>
          <w:kern w:val="0"/>
          <w:sz w:val="28"/>
          <w:szCs w:val="28"/>
        </w:rPr>
        <w:t>8</w:t>
      </w:r>
    </w:p>
    <w:p>
      <w:pPr>
        <w:jc w:val="distribute"/>
        <w:rPr>
          <w:rFonts w:cs="Times New Roman" w:asciiTheme="minorEastAsia" w:hAnsiTheme="minorEastAsia"/>
          <w:kern w:val="0"/>
          <w:sz w:val="28"/>
          <w:szCs w:val="28"/>
        </w:rPr>
      </w:pPr>
      <w:r>
        <w:rPr>
          <w:rFonts w:hint="eastAsia" w:cs="Times New Roman" w:asciiTheme="minorEastAsia" w:hAnsiTheme="minorEastAsia"/>
          <w:kern w:val="0"/>
          <w:sz w:val="28"/>
          <w:szCs w:val="28"/>
        </w:rPr>
        <w:t>第五部分附件/报价文件格式…………………………………</w:t>
      </w:r>
      <w:r>
        <w:rPr>
          <w:rFonts w:cs="Times New Roman" w:asciiTheme="minorEastAsia" w:hAnsiTheme="minorEastAsia"/>
          <w:color w:val="FF0000"/>
          <w:kern w:val="0"/>
          <w:sz w:val="28"/>
          <w:szCs w:val="28"/>
        </w:rPr>
        <w:t>4</w:t>
      </w:r>
      <w:r>
        <w:rPr>
          <w:rFonts w:hint="eastAsia" w:cs="Times New Roman" w:asciiTheme="minorEastAsia" w:hAnsiTheme="minorEastAsia"/>
          <w:color w:val="FF0000"/>
          <w:kern w:val="0"/>
          <w:sz w:val="28"/>
          <w:szCs w:val="28"/>
        </w:rPr>
        <w:t>3</w:t>
      </w:r>
    </w:p>
    <w:p>
      <w:pPr>
        <w:spacing w:line="800" w:lineRule="exact"/>
        <w:ind w:firstLine="480" w:firstLineChars="200"/>
        <w:rPr>
          <w:rFonts w:ascii="Times New Roman" w:hAnsi="Times New Roman" w:eastAsia="宋体" w:cs="Times New Roman"/>
          <w:kern w:val="0"/>
          <w:sz w:val="24"/>
          <w:szCs w:val="24"/>
        </w:rPr>
      </w:pPr>
    </w:p>
    <w:p>
      <w:pPr>
        <w:spacing w:line="800" w:lineRule="exact"/>
        <w:ind w:firstLine="480" w:firstLineChars="200"/>
        <w:rPr>
          <w:rFonts w:ascii="Times New Roman" w:hAnsi="Times New Roman" w:eastAsia="宋体" w:cs="Times New Roman"/>
          <w:kern w:val="0"/>
          <w:sz w:val="24"/>
          <w:szCs w:val="24"/>
        </w:rPr>
      </w:pPr>
    </w:p>
    <w:p>
      <w:pPr>
        <w:spacing w:line="800" w:lineRule="exact"/>
        <w:ind w:firstLine="480" w:firstLineChars="200"/>
        <w:rPr>
          <w:rFonts w:ascii="Times New Roman" w:hAnsi="Times New Roman" w:eastAsia="宋体" w:cs="Times New Roman"/>
          <w:kern w:val="0"/>
          <w:sz w:val="24"/>
          <w:szCs w:val="24"/>
        </w:rPr>
      </w:pPr>
    </w:p>
    <w:p>
      <w:pPr>
        <w:spacing w:beforeLines="100"/>
        <w:jc w:val="center"/>
        <w:rPr>
          <w:rFonts w:ascii="Times New Roman" w:hAnsi="Times New Roman" w:eastAsia="华文中宋" w:cs="Times New Roman"/>
          <w:kern w:val="0"/>
          <w:sz w:val="44"/>
          <w:szCs w:val="44"/>
        </w:rPr>
      </w:pPr>
      <w:bookmarkStart w:id="0" w:name="_Toc240432228"/>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jc w:val="cente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rPr>
          <w:rFonts w:ascii="Times New Roman" w:hAnsi="Times New Roman" w:eastAsia="华文中宋" w:cs="Times New Roman"/>
          <w:sz w:val="44"/>
          <w:szCs w:val="44"/>
        </w:rPr>
      </w:pPr>
    </w:p>
    <w:p>
      <w:pPr>
        <w:pStyle w:val="3"/>
        <w:spacing w:before="0" w:after="0" w:line="360" w:lineRule="auto"/>
        <w:jc w:val="center"/>
        <w:rPr>
          <w:sz w:val="36"/>
          <w:szCs w:val="36"/>
        </w:rPr>
      </w:pPr>
      <w:bookmarkStart w:id="1" w:name="_Toc435540978"/>
      <w:bookmarkStart w:id="2" w:name="_Toc285612593"/>
      <w:r>
        <w:rPr>
          <w:rFonts w:hint="eastAsia"/>
          <w:sz w:val="36"/>
          <w:szCs w:val="36"/>
        </w:rPr>
        <w:t>第一部分</w:t>
      </w:r>
      <w:bookmarkEnd w:id="1"/>
      <w:bookmarkEnd w:id="2"/>
      <w:r>
        <w:rPr>
          <w:rFonts w:hint="eastAsia"/>
          <w:sz w:val="36"/>
          <w:szCs w:val="36"/>
        </w:rPr>
        <w:t xml:space="preserve"> 公告</w:t>
      </w:r>
      <w:bookmarkEnd w:id="0"/>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我单位就以下项目进行竞争性谈判采购，采购资金已全部落实，欢迎符合条件的供应商参加投标。</w:t>
      </w:r>
    </w:p>
    <w:p>
      <w:pPr>
        <w:numPr>
          <w:ilvl w:val="0"/>
          <w:numId w:val="1"/>
        </w:numPr>
        <w:tabs>
          <w:tab w:val="left" w:pos="900"/>
        </w:tabs>
        <w:snapToGrid w:val="0"/>
        <w:spacing w:line="360" w:lineRule="auto"/>
        <w:ind w:firstLine="480"/>
        <w:jc w:val="left"/>
        <w:rPr>
          <w:rFonts w:cs="Times New Roman" w:asciiTheme="minorEastAsia" w:hAnsiTheme="minorEastAsia"/>
          <w:kern w:val="0"/>
          <w:sz w:val="24"/>
          <w:szCs w:val="24"/>
        </w:rPr>
      </w:pPr>
      <w:r>
        <w:rPr>
          <w:rFonts w:cs="Times New Roman" w:asciiTheme="minorEastAsia" w:hAnsiTheme="minorEastAsia"/>
          <w:kern w:val="0"/>
          <w:sz w:val="24"/>
          <w:szCs w:val="24"/>
        </w:rPr>
        <w:t>项目名称：</w:t>
      </w:r>
      <w:r>
        <w:rPr>
          <w:rFonts w:hint="eastAsia" w:cs="Times New Roman" w:asciiTheme="minorEastAsia" w:hAnsiTheme="minorEastAsia"/>
          <w:kern w:val="0"/>
          <w:sz w:val="24"/>
          <w:szCs w:val="24"/>
          <w:lang w:val="zh-CN"/>
        </w:rPr>
        <w:t>安徽省永丰粮食购销有限公司2.5万吨粮食仓储设施项目机械通风设备采购及安装工程</w:t>
      </w:r>
    </w:p>
    <w:p>
      <w:pPr>
        <w:tabs>
          <w:tab w:val="left" w:pos="0"/>
          <w:tab w:val="left" w:pos="1122"/>
        </w:tabs>
        <w:spacing w:line="360" w:lineRule="auto"/>
        <w:ind w:firstLine="480"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二、</w:t>
      </w:r>
      <w:r>
        <w:rPr>
          <w:rFonts w:cs="Times New Roman" w:asciiTheme="minorEastAsia" w:hAnsiTheme="minorEastAsia"/>
          <w:kern w:val="0"/>
          <w:sz w:val="24"/>
          <w:szCs w:val="24"/>
          <w:lang w:val="zh-CN"/>
        </w:rPr>
        <w:t>项目编号：</w:t>
      </w:r>
      <w:r>
        <w:rPr>
          <w:rFonts w:hint="eastAsia" w:cs="Times New Roman" w:asciiTheme="minorEastAsia" w:hAnsiTheme="minorEastAsia"/>
          <w:kern w:val="0"/>
          <w:sz w:val="24"/>
          <w:szCs w:val="24"/>
          <w:lang w:val="zh-CN"/>
        </w:rPr>
        <w:t xml:space="preserve">RG </w:t>
      </w:r>
      <w:r>
        <w:rPr>
          <w:rFonts w:cs="Times New Roman" w:asciiTheme="minorEastAsia" w:hAnsiTheme="minorEastAsia"/>
          <w:kern w:val="0"/>
          <w:sz w:val="24"/>
          <w:szCs w:val="24"/>
          <w:lang w:val="zh-CN"/>
        </w:rPr>
        <w:t>202</w:t>
      </w:r>
      <w:r>
        <w:rPr>
          <w:rFonts w:hint="eastAsia" w:cs="Times New Roman" w:asciiTheme="minorEastAsia" w:hAnsiTheme="minorEastAsia"/>
          <w:kern w:val="0"/>
          <w:sz w:val="24"/>
          <w:szCs w:val="24"/>
          <w:lang w:val="zh-CN"/>
        </w:rPr>
        <w:t>1</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1001，</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三、项目概况</w:t>
      </w:r>
      <w:r>
        <w:rPr>
          <w:rFonts w:cs="Times New Roman" w:asciiTheme="minorEastAsia" w:hAnsiTheme="minorEastAsia"/>
          <w:kern w:val="0"/>
          <w:sz w:val="24"/>
          <w:szCs w:val="24"/>
        </w:rPr>
        <w:t>：</w:t>
      </w:r>
    </w:p>
    <w:p>
      <w:pPr>
        <w:tabs>
          <w:tab w:val="left" w:pos="900"/>
        </w:tabs>
        <w:snapToGri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1、标段名称：</w:t>
      </w:r>
      <w:r>
        <w:rPr>
          <w:rFonts w:hint="eastAsia" w:cs="Times New Roman" w:asciiTheme="minorEastAsia" w:hAnsiTheme="minorEastAsia"/>
          <w:kern w:val="0"/>
          <w:sz w:val="24"/>
          <w:szCs w:val="24"/>
          <w:lang w:val="zh-CN"/>
        </w:rPr>
        <w:t>安徽省永丰粮食购销有限公司2.5万吨粮食仓储设施项目机械通风设备采购及安装工程</w:t>
      </w:r>
    </w:p>
    <w:p>
      <w:pPr>
        <w:pStyle w:val="2"/>
        <w:spacing w:line="360" w:lineRule="auto"/>
        <w:ind w:left="0" w:leftChars="0" w:firstLine="480" w:firstLineChars="200"/>
      </w:pPr>
      <w:r>
        <w:rPr>
          <w:rFonts w:hint="eastAsia" w:cs="Times New Roman" w:asciiTheme="minorEastAsia" w:hAnsiTheme="minorEastAsia"/>
          <w:kern w:val="0"/>
          <w:sz w:val="24"/>
        </w:rPr>
        <w:t>2、</w:t>
      </w:r>
      <w:r>
        <w:rPr>
          <w:rFonts w:cs="Times New Roman" w:asciiTheme="minorEastAsia" w:hAnsiTheme="minorEastAsia"/>
          <w:kern w:val="0"/>
          <w:sz w:val="24"/>
        </w:rPr>
        <w:t>项目编号：</w:t>
      </w:r>
      <w:r>
        <w:rPr>
          <w:rFonts w:hint="eastAsia" w:cs="Times New Roman" w:asciiTheme="minorEastAsia" w:hAnsiTheme="minorEastAsia"/>
          <w:kern w:val="0"/>
          <w:sz w:val="24"/>
          <w:lang w:val="zh-CN"/>
        </w:rPr>
        <w:t xml:space="preserve">RG </w:t>
      </w:r>
      <w:r>
        <w:rPr>
          <w:rFonts w:cs="Times New Roman" w:asciiTheme="minorEastAsia" w:hAnsiTheme="minorEastAsia"/>
          <w:kern w:val="0"/>
          <w:sz w:val="24"/>
          <w:lang w:val="zh-CN"/>
        </w:rPr>
        <w:t>202</w:t>
      </w:r>
      <w:r>
        <w:rPr>
          <w:rFonts w:hint="eastAsia" w:cs="Times New Roman" w:asciiTheme="minorEastAsia" w:hAnsiTheme="minorEastAsia"/>
          <w:kern w:val="0"/>
          <w:sz w:val="24"/>
          <w:lang w:val="zh-CN"/>
        </w:rPr>
        <w:t>1</w:t>
      </w:r>
      <w:r>
        <w:rPr>
          <w:rFonts w:cs="Times New Roman" w:asciiTheme="minorEastAsia" w:hAnsiTheme="minorEastAsia"/>
          <w:kern w:val="0"/>
          <w:sz w:val="24"/>
          <w:lang w:val="zh-CN"/>
        </w:rPr>
        <w:t>-</w:t>
      </w:r>
      <w:r>
        <w:rPr>
          <w:rFonts w:hint="eastAsia" w:cs="Times New Roman" w:asciiTheme="minorEastAsia" w:hAnsiTheme="minorEastAsia"/>
          <w:kern w:val="0"/>
          <w:sz w:val="24"/>
          <w:lang w:val="zh-CN"/>
        </w:rPr>
        <w:t>1001</w:t>
      </w:r>
      <w:r>
        <w:rPr>
          <w:rFonts w:hint="eastAsia" w:cs="Times New Roman" w:asciiTheme="minorEastAsia" w:hAnsiTheme="minorEastAsia"/>
          <w:kern w:val="0"/>
          <w:sz w:val="24"/>
        </w:rPr>
        <w:t>，</w:t>
      </w:r>
    </w:p>
    <w:p>
      <w:pPr>
        <w:pStyle w:val="49"/>
        <w:spacing w:line="360" w:lineRule="auto"/>
        <w:ind w:firstLine="480"/>
        <w:rPr>
          <w:rFonts w:cs="Times New Roman" w:asciiTheme="minorEastAsia" w:hAnsiTheme="minorEastAsia"/>
          <w:kern w:val="0"/>
          <w:sz w:val="24"/>
          <w:szCs w:val="24"/>
        </w:rPr>
      </w:pPr>
      <w:r>
        <w:rPr>
          <w:rFonts w:cs="Times New Roman" w:asciiTheme="minorEastAsia" w:hAnsiTheme="minorEastAsia"/>
          <w:kern w:val="0"/>
          <w:sz w:val="24"/>
          <w:szCs w:val="24"/>
        </w:rPr>
        <w:t>3</w:t>
      </w:r>
      <w:r>
        <w:rPr>
          <w:rFonts w:hint="eastAsia" w:cs="Times New Roman" w:asciiTheme="minorEastAsia" w:hAnsiTheme="minorEastAsia"/>
          <w:kern w:val="0"/>
          <w:sz w:val="24"/>
          <w:szCs w:val="24"/>
        </w:rPr>
        <w:t>、工程地点：</w:t>
      </w:r>
      <w:r>
        <w:rPr>
          <w:rFonts w:hint="eastAsia" w:cs="Times New Roman" w:asciiTheme="minorEastAsia" w:hAnsiTheme="minorEastAsia"/>
          <w:kern w:val="0"/>
          <w:sz w:val="24"/>
          <w:szCs w:val="24"/>
          <w:lang w:val="zh-CN"/>
        </w:rPr>
        <w:t>池州市东至县昭潭镇永丰村</w:t>
      </w:r>
    </w:p>
    <w:p>
      <w:pPr>
        <w:pStyle w:val="49"/>
        <w:spacing w:line="360" w:lineRule="auto"/>
        <w:ind w:firstLine="480"/>
        <w:rPr>
          <w:rFonts w:cs="Times New Roman" w:asciiTheme="minorEastAsia" w:hAnsiTheme="minorEastAsia"/>
          <w:kern w:val="0"/>
          <w:sz w:val="24"/>
          <w:szCs w:val="24"/>
        </w:rPr>
      </w:pPr>
      <w:r>
        <w:rPr>
          <w:rFonts w:cs="Times New Roman" w:asciiTheme="minorEastAsia" w:hAnsiTheme="minorEastAsia"/>
          <w:kern w:val="0"/>
          <w:sz w:val="24"/>
          <w:szCs w:val="24"/>
        </w:rPr>
        <w:t>4</w:t>
      </w:r>
      <w:r>
        <w:rPr>
          <w:rFonts w:hint="eastAsia" w:cs="Times New Roman" w:asciiTheme="minorEastAsia" w:hAnsiTheme="minorEastAsia"/>
          <w:kern w:val="0"/>
          <w:sz w:val="24"/>
          <w:szCs w:val="24"/>
        </w:rPr>
        <w:t>、采购内容、数量、控制价、技术参数：详见后附清单</w:t>
      </w:r>
    </w:p>
    <w:p>
      <w:pPr>
        <w:pStyle w:val="49"/>
        <w:spacing w:line="360" w:lineRule="auto"/>
        <w:ind w:firstLine="480"/>
        <w:rPr>
          <w:rFonts w:cs="Times New Roman" w:asciiTheme="minorEastAsia" w:hAnsiTheme="minorEastAsia"/>
          <w:kern w:val="0"/>
          <w:sz w:val="24"/>
          <w:szCs w:val="24"/>
        </w:rPr>
      </w:pPr>
      <w:r>
        <w:rPr>
          <w:rFonts w:cs="Times New Roman" w:asciiTheme="minorEastAsia" w:hAnsiTheme="minorEastAsia"/>
          <w:kern w:val="0"/>
          <w:sz w:val="24"/>
          <w:szCs w:val="24"/>
        </w:rPr>
        <w:t>5</w:t>
      </w:r>
      <w:r>
        <w:rPr>
          <w:rFonts w:hint="eastAsia" w:cs="Times New Roman" w:asciiTheme="minorEastAsia" w:hAnsiTheme="minorEastAsia"/>
          <w:kern w:val="0"/>
          <w:sz w:val="24"/>
          <w:szCs w:val="24"/>
        </w:rPr>
        <w:t>、控制价：48.8万元（单位：人民币）（超过控制价的报价视为无效） ；</w:t>
      </w:r>
    </w:p>
    <w:p>
      <w:pPr>
        <w:pStyle w:val="49"/>
        <w:spacing w:line="360" w:lineRule="auto"/>
        <w:ind w:firstLine="480"/>
        <w:rPr>
          <w:rFonts w:cs="Times New Roman" w:asciiTheme="minorEastAsia" w:hAnsiTheme="minorEastAsia"/>
          <w:kern w:val="0"/>
          <w:sz w:val="24"/>
          <w:szCs w:val="24"/>
        </w:rPr>
      </w:pPr>
      <w:r>
        <w:rPr>
          <w:rFonts w:cs="Times New Roman" w:asciiTheme="minorEastAsia" w:hAnsiTheme="minorEastAsia"/>
          <w:kern w:val="0"/>
          <w:sz w:val="24"/>
          <w:szCs w:val="24"/>
        </w:rPr>
        <w:t>6</w:t>
      </w:r>
      <w:r>
        <w:rPr>
          <w:rFonts w:hint="eastAsia" w:cs="Times New Roman" w:asciiTheme="minorEastAsia" w:hAnsiTheme="minorEastAsia"/>
          <w:kern w:val="0"/>
          <w:sz w:val="24"/>
          <w:szCs w:val="24"/>
        </w:rPr>
        <w:t>、交付使用期：合同签订后</w:t>
      </w:r>
      <w:r>
        <w:rPr>
          <w:rFonts w:hint="eastAsia" w:cs="Times New Roman" w:asciiTheme="minorEastAsia" w:hAnsiTheme="minorEastAsia"/>
          <w:kern w:val="0"/>
          <w:sz w:val="24"/>
          <w:szCs w:val="24"/>
          <w:highlight w:val="yellow"/>
        </w:rPr>
        <w:t>20</w:t>
      </w:r>
      <w:r>
        <w:rPr>
          <w:rFonts w:hint="eastAsia" w:cs="Times New Roman" w:asciiTheme="minorEastAsia" w:hAnsiTheme="minorEastAsia"/>
          <w:kern w:val="0"/>
          <w:sz w:val="24"/>
          <w:szCs w:val="24"/>
        </w:rPr>
        <w:t>个日历日内交付并安装完成</w:t>
      </w:r>
    </w:p>
    <w:p>
      <w:pPr>
        <w:pStyle w:val="49"/>
        <w:spacing w:line="360" w:lineRule="auto"/>
        <w:ind w:firstLine="480"/>
        <w:rPr>
          <w:rFonts w:cs="Times New Roman" w:asciiTheme="minorEastAsia" w:hAnsiTheme="minorEastAsia"/>
          <w:kern w:val="0"/>
          <w:sz w:val="24"/>
          <w:szCs w:val="24"/>
        </w:rPr>
      </w:pPr>
      <w:r>
        <w:rPr>
          <w:rFonts w:cs="Times New Roman" w:asciiTheme="minorEastAsia" w:hAnsiTheme="minorEastAsia"/>
          <w:kern w:val="0"/>
          <w:sz w:val="24"/>
          <w:szCs w:val="24"/>
        </w:rPr>
        <w:t>7</w:t>
      </w:r>
      <w:r>
        <w:rPr>
          <w:rFonts w:hint="eastAsia" w:cs="Times New Roman" w:asciiTheme="minorEastAsia" w:hAnsiTheme="minorEastAsia"/>
          <w:kern w:val="0"/>
          <w:sz w:val="24"/>
          <w:szCs w:val="24"/>
        </w:rPr>
        <w:t>、质量验收标准：符合设备本身的技术条件及乙方承诺的其它指标；</w:t>
      </w:r>
    </w:p>
    <w:p>
      <w:pPr>
        <w:pStyle w:val="49"/>
        <w:spacing w:line="360" w:lineRule="auto"/>
        <w:ind w:firstLine="48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8</w:t>
      </w:r>
      <w:r>
        <w:rPr>
          <w:rFonts w:hint="eastAsia" w:cs="Times New Roman" w:asciiTheme="minorEastAsia" w:hAnsiTheme="minorEastAsia"/>
          <w:kern w:val="0"/>
          <w:sz w:val="24"/>
          <w:szCs w:val="24"/>
          <w:lang w:val="zh-CN"/>
        </w:rPr>
        <w:t>、评标办法：综合评分法</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四、供应商</w:t>
      </w:r>
      <w:r>
        <w:rPr>
          <w:rFonts w:cs="Times New Roman" w:asciiTheme="minorEastAsia" w:hAnsiTheme="minorEastAsia"/>
          <w:kern w:val="0"/>
          <w:sz w:val="24"/>
          <w:szCs w:val="24"/>
        </w:rPr>
        <w:t>资格条件：</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（一）符合《中华人民共和国政府采购法》第二十二条资格条件：</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1.具有独立承担民事责任的能力；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2.具有良好的商业信誉和健全的财务会计制度；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3.具有履行合同所必需的设备和专业技术能力；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4.有依法缴纳税收和社会保障资金的良好记录；</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5.参加政府采购活动前3年内，在经营活动中没有重大违法记录；</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6.法律、行政法规规定的其他条件。</w:t>
      </w:r>
    </w:p>
    <w:p>
      <w:pPr>
        <w:tabs>
          <w:tab w:val="left" w:pos="0"/>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（二）非外资独资或外资控股企业。</w:t>
      </w:r>
    </w:p>
    <w:p>
      <w:pPr>
        <w:tabs>
          <w:tab w:val="left" w:pos="0"/>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单位采购活动的处罚。</w:t>
      </w:r>
    </w:p>
    <w:p>
      <w:pPr>
        <w:tabs>
          <w:tab w:val="left" w:pos="0"/>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（四）本项目不接受联合体投标。</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五、谈判文件</w:t>
      </w:r>
      <w:r>
        <w:rPr>
          <w:rFonts w:cs="Times New Roman" w:asciiTheme="minorEastAsia" w:hAnsiTheme="minorEastAsia"/>
          <w:kern w:val="0"/>
          <w:sz w:val="24"/>
          <w:szCs w:val="24"/>
        </w:rPr>
        <w:t>发售时间、地点、方式及售价</w:t>
      </w:r>
    </w:p>
    <w:p>
      <w:pPr>
        <w:tabs>
          <w:tab w:val="left" w:pos="0"/>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（一）发售时间：2021年10月2</w:t>
      </w:r>
      <w:r>
        <w:rPr>
          <w:rFonts w:hint="eastAsia" w:cs="Times New Roman" w:asciiTheme="minorEastAsia" w:hAnsiTheme="minorEastAsia"/>
          <w:kern w:val="0"/>
          <w:sz w:val="24"/>
          <w:szCs w:val="24"/>
          <w:lang w:val="en-US" w:eastAsia="zh-CN"/>
        </w:rPr>
        <w:t>5</w:t>
      </w:r>
      <w:bookmarkStart w:id="34" w:name="_GoBack"/>
      <w:bookmarkEnd w:id="34"/>
      <w:r>
        <w:rPr>
          <w:rFonts w:hint="eastAsia" w:cs="Times New Roman" w:asciiTheme="minorEastAsia" w:hAnsiTheme="minorEastAsia"/>
          <w:kern w:val="0"/>
          <w:sz w:val="24"/>
          <w:szCs w:val="24"/>
        </w:rPr>
        <w:t>日至10月31日（08:00—11:30，14:30—17:00）（北京时间、节假日除外）。</w:t>
      </w:r>
    </w:p>
    <w:p>
      <w:pPr>
        <w:tabs>
          <w:tab w:val="left" w:pos="0"/>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（二）发售地点：安徽省合肥市包河区望江东路金中环广场C座1608-09室。</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（三）发售方式：供应商指定专人现场领取，不接受邮寄等其他方式。供应商购买谈判文件时需提供以下材料复印件及装订成册加盖单位公章的复印件1份。</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2.组织机构代码证（三证合一的不需提供）；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3.税务登记证（三证合一的不需提供）；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4.法定代表人授权书（含法定代表人和被授权人身份证复印件）及联系方式；</w:t>
      </w:r>
    </w:p>
    <w:p>
      <w:pPr>
        <w:tabs>
          <w:tab w:val="left" w:pos="0"/>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（四）谈判文件售价：200元/份，售后不退。</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六、响应文件递交开始和截止</w:t>
      </w:r>
      <w:r>
        <w:rPr>
          <w:rFonts w:cs="Times New Roman" w:asciiTheme="minorEastAsia" w:hAnsiTheme="minorEastAsia"/>
          <w:kern w:val="0"/>
          <w:sz w:val="24"/>
          <w:szCs w:val="24"/>
        </w:rPr>
        <w:t>时间</w:t>
      </w:r>
      <w:r>
        <w:rPr>
          <w:rFonts w:hint="eastAsia" w:cs="Times New Roman" w:asciiTheme="minorEastAsia" w:hAnsiTheme="minorEastAsia"/>
          <w:kern w:val="0"/>
          <w:sz w:val="24"/>
          <w:szCs w:val="24"/>
        </w:rPr>
        <w:t>及</w:t>
      </w:r>
      <w:r>
        <w:rPr>
          <w:rFonts w:cs="Times New Roman" w:asciiTheme="minorEastAsia" w:hAnsiTheme="minorEastAsia"/>
          <w:kern w:val="0"/>
          <w:sz w:val="24"/>
          <w:szCs w:val="24"/>
        </w:rPr>
        <w:t>地点</w:t>
      </w:r>
      <w:r>
        <w:rPr>
          <w:rFonts w:hint="eastAsia" w:cs="Times New Roman" w:asciiTheme="minorEastAsia" w:hAnsiTheme="minorEastAsia"/>
          <w:kern w:val="0"/>
          <w:sz w:val="24"/>
          <w:szCs w:val="24"/>
        </w:rPr>
        <w:t>、方式</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（一）开始时间：2021年11月2 日14时00分（北京时间）。</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（二）截止时间：2021年11月2 日14时30分（北京时间）。</w:t>
      </w:r>
    </w:p>
    <w:p>
      <w:pPr>
        <w:tabs>
          <w:tab w:val="left" w:pos="0"/>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（三）谈判地点：</w:t>
      </w:r>
      <w:r>
        <w:rPr>
          <w:rFonts w:hint="eastAsia" w:cs="Times New Roman" w:asciiTheme="minorEastAsia" w:hAnsiTheme="minorEastAsia"/>
          <w:kern w:val="0"/>
          <w:sz w:val="24"/>
          <w:szCs w:val="24"/>
          <w:highlight w:val="yellow"/>
        </w:rPr>
        <w:t>安徽省合肥市芜湖路275号</w:t>
      </w:r>
      <w:r>
        <w:rPr>
          <w:rFonts w:hint="eastAsia" w:cs="Times New Roman" w:asciiTheme="minorEastAsia" w:hAnsiTheme="minorEastAsia"/>
          <w:kern w:val="0"/>
          <w:sz w:val="24"/>
          <w:szCs w:val="24"/>
        </w:rPr>
        <w:t>。</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（四）投标方式：指定专人递交响应文件，不接受邮寄等其他方式。</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七、</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rPr>
        <w:t>谈判时间、地点</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rPr>
        <w:t>时间：2021年11月2日14时30分（北京时间）。</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rPr>
        <w:t>地点：</w:t>
      </w:r>
      <w:r>
        <w:rPr>
          <w:rFonts w:hint="eastAsia" w:cs="Times New Roman" w:asciiTheme="minorEastAsia" w:hAnsiTheme="minorEastAsia"/>
          <w:kern w:val="0"/>
          <w:sz w:val="24"/>
          <w:szCs w:val="24"/>
          <w:highlight w:val="yellow"/>
        </w:rPr>
        <w:t>安徽省合肥市芜湖路275号</w:t>
      </w:r>
      <w:r>
        <w:rPr>
          <w:rFonts w:hint="eastAsia" w:cs="Times New Roman" w:asciiTheme="minorEastAsia" w:hAnsiTheme="minorEastAsia"/>
          <w:kern w:val="0"/>
          <w:sz w:val="24"/>
          <w:szCs w:val="24"/>
        </w:rPr>
        <w:t>。</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八、</w:t>
      </w:r>
      <w:r>
        <w:rPr>
          <w:rFonts w:cs="Times New Roman" w:asciiTheme="minorEastAsia" w:hAnsiTheme="minorEastAsia"/>
          <w:kern w:val="0"/>
          <w:sz w:val="24"/>
          <w:szCs w:val="24"/>
        </w:rPr>
        <w:t>本</w:t>
      </w:r>
      <w:r>
        <w:rPr>
          <w:rFonts w:hint="eastAsia" w:cs="Times New Roman" w:asciiTheme="minorEastAsia" w:hAnsiTheme="minorEastAsia"/>
          <w:kern w:val="0"/>
          <w:sz w:val="24"/>
          <w:szCs w:val="24"/>
        </w:rPr>
        <w:t>采购</w:t>
      </w:r>
      <w:r>
        <w:rPr>
          <w:rFonts w:cs="Times New Roman" w:asciiTheme="minorEastAsia" w:hAnsiTheme="minorEastAsia"/>
          <w:kern w:val="0"/>
          <w:sz w:val="24"/>
          <w:szCs w:val="24"/>
        </w:rPr>
        <w:t>项目相关信息在</w:t>
      </w:r>
      <w:r>
        <w:rPr>
          <w:rFonts w:hint="eastAsia" w:cs="Times New Roman" w:asciiTheme="minorEastAsia" w:hAnsiTheme="minorEastAsia"/>
          <w:kern w:val="0"/>
          <w:sz w:val="24"/>
          <w:szCs w:val="24"/>
        </w:rPr>
        <w:t>安徽省旅游集团网</w:t>
      </w:r>
      <w:r>
        <w:rPr>
          <w:rFonts w:cs="Times New Roman" w:asciiTheme="minorEastAsia" w:hAnsiTheme="minorEastAsia"/>
          <w:kern w:val="0"/>
          <w:sz w:val="24"/>
          <w:szCs w:val="24"/>
        </w:rPr>
        <w:t>上发布。</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九、采购人</w:t>
      </w:r>
      <w:r>
        <w:rPr>
          <w:rFonts w:cs="Times New Roman" w:asciiTheme="minorEastAsia" w:hAnsiTheme="minorEastAsia"/>
          <w:kern w:val="0"/>
          <w:sz w:val="24"/>
          <w:szCs w:val="24"/>
        </w:rPr>
        <w:t>联系方式</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联 系 人：徐先生</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电    话：</w:t>
      </w:r>
      <w:r>
        <w:rPr>
          <w:rFonts w:cs="Times New Roman" w:asciiTheme="minorEastAsia" w:hAnsiTheme="minorEastAsia"/>
          <w:kern w:val="0"/>
          <w:sz w:val="24"/>
          <w:szCs w:val="24"/>
        </w:rPr>
        <w:t xml:space="preserve">13856628628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地    址：</w:t>
      </w:r>
      <w:r>
        <w:rPr>
          <w:rFonts w:hint="eastAsia" w:cs="Times New Roman" w:asciiTheme="minorEastAsia" w:hAnsiTheme="minorEastAsia"/>
          <w:kern w:val="0"/>
          <w:sz w:val="24"/>
          <w:szCs w:val="24"/>
          <w:highlight w:val="yellow"/>
        </w:rPr>
        <w:t>安徽省合肥市芜湖路275号</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邮政编码：230001</w:t>
      </w:r>
    </w:p>
    <w:p>
      <w:pPr>
        <w:tabs>
          <w:tab w:val="left" w:pos="0"/>
          <w:tab w:val="left" w:pos="1122"/>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十、采购代理机构</w:t>
      </w:r>
      <w:r>
        <w:rPr>
          <w:rFonts w:cs="Times New Roman" w:asciiTheme="minorEastAsia" w:hAnsiTheme="minorEastAsia"/>
          <w:kern w:val="0"/>
          <w:sz w:val="24"/>
          <w:szCs w:val="24"/>
        </w:rPr>
        <w:t>联系方式</w:t>
      </w:r>
    </w:p>
    <w:p>
      <w:pPr>
        <w:spacing w:line="360" w:lineRule="auto"/>
        <w:ind w:firstLine="480" w:firstLineChars="200"/>
        <w:jc w:val="left"/>
        <w:rPr>
          <w:rFonts w:cs="Times New Roman" w:asciiTheme="minorEastAsia" w:hAnsiTheme="minorEastAsia"/>
          <w:kern w:val="0"/>
          <w:sz w:val="24"/>
          <w:szCs w:val="24"/>
        </w:rPr>
      </w:pPr>
      <w:bookmarkStart w:id="3" w:name="_Toc285612594"/>
      <w:bookmarkStart w:id="4" w:name="_Toc435540979"/>
      <w:bookmarkStart w:id="5" w:name="_Toc390713967"/>
      <w:r>
        <w:rPr>
          <w:rFonts w:hint="eastAsia" w:cs="Times New Roman" w:asciiTheme="minorEastAsia" w:hAnsiTheme="minorEastAsia"/>
          <w:kern w:val="0"/>
          <w:sz w:val="24"/>
          <w:szCs w:val="24"/>
        </w:rPr>
        <w:t>联 系 人：张工、袁工</w:t>
      </w:r>
    </w:p>
    <w:p>
      <w:pPr>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电    话：15956584622</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地    址：合肥市望江东路金中环C座1608-09室</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邮政编码：230001</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账户名称：合肥容公工程咨询有限公司</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谈判保证金汇款账号：</w:t>
      </w:r>
      <w:r>
        <w:rPr>
          <w:rFonts w:cs="Times New Roman" w:asciiTheme="minorEastAsia" w:hAnsiTheme="minorEastAsia"/>
          <w:kern w:val="0"/>
          <w:sz w:val="24"/>
          <w:szCs w:val="24"/>
        </w:rPr>
        <w:t>1302 0419 0910 0015 306</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谈判保证金汇入行：中国工商银行股份有限公司合肥站前路支行</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请供应商在汇款时务必注明所投标项目的招标编号及款项用途，否则，因款项用途不明导致投标无效等后果由供应商自行承担。</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采购人：安徽省永丰粮食购销有限公司</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采购代理机构：合肥容公工程咨询有限公司</w:t>
      </w:r>
    </w:p>
    <w:p>
      <w:pPr>
        <w:pStyle w:val="2"/>
        <w:ind w:left="1260"/>
      </w:pPr>
    </w:p>
    <w:p>
      <w:pPr>
        <w:ind w:firstLine="5903" w:firstLineChars="2100"/>
        <w:rPr>
          <w:rFonts w:ascii="宋体" w:hAnsi="宋体" w:eastAsia="宋体" w:cs="Times New Roman"/>
          <w:b/>
          <w:kern w:val="0"/>
          <w:sz w:val="28"/>
          <w:szCs w:val="28"/>
        </w:rPr>
      </w:pPr>
      <w:r>
        <w:rPr>
          <w:rFonts w:ascii="宋体" w:hAnsi="宋体" w:eastAsia="宋体" w:cs="Times New Roman"/>
          <w:b/>
          <w:kern w:val="0"/>
          <w:sz w:val="28"/>
          <w:szCs w:val="28"/>
        </w:rPr>
        <w:t>二〇二一年</w:t>
      </w:r>
      <w:r>
        <w:rPr>
          <w:rFonts w:hint="eastAsia" w:ascii="宋体" w:hAnsi="宋体" w:eastAsia="宋体" w:cs="Times New Roman"/>
          <w:b/>
          <w:kern w:val="0"/>
          <w:sz w:val="28"/>
          <w:szCs w:val="28"/>
        </w:rPr>
        <w:t>十月二十三日</w:t>
      </w:r>
    </w:p>
    <w:p>
      <w:pPr>
        <w:spacing w:line="360" w:lineRule="auto"/>
        <w:rPr>
          <w:rFonts w:cs="Times New Roman" w:asciiTheme="minorEastAsia" w:hAnsiTheme="minorEastAsia"/>
          <w:kern w:val="0"/>
          <w:sz w:val="24"/>
          <w:szCs w:val="24"/>
          <w:lang w:val="zh-CN"/>
        </w:rPr>
        <w:sectPr>
          <w:headerReference r:id="rId3" w:type="default"/>
          <w:footerReference r:id="rId4" w:type="default"/>
          <w:pgSz w:w="11906" w:h="16838"/>
          <w:pgMar w:top="1440" w:right="1440" w:bottom="1440" w:left="1440" w:header="851" w:footer="992" w:gutter="0"/>
          <w:pgNumType w:start="1"/>
          <w:cols w:space="425" w:num="1"/>
          <w:docGrid w:linePitch="579" w:charSpace="-1844"/>
        </w:sectPr>
      </w:pPr>
      <w:r>
        <w:rPr>
          <w:rFonts w:hint="eastAsia" w:cs="Times New Roman" w:asciiTheme="minorEastAsia" w:hAnsiTheme="minorEastAsia"/>
          <w:kern w:val="0"/>
          <w:sz w:val="24"/>
          <w:szCs w:val="24"/>
          <w:lang w:val="zh-CN"/>
        </w:rPr>
        <w:br w:type="page"/>
      </w:r>
    </w:p>
    <w:p>
      <w:pPr>
        <w:pStyle w:val="3"/>
        <w:spacing w:before="0" w:after="0" w:line="360" w:lineRule="auto"/>
        <w:jc w:val="center"/>
        <w:rPr>
          <w:sz w:val="36"/>
          <w:szCs w:val="36"/>
          <w:highlight w:val="yellow"/>
        </w:rPr>
      </w:pPr>
      <w:r>
        <w:rPr>
          <w:rFonts w:hint="eastAsia"/>
          <w:sz w:val="36"/>
          <w:szCs w:val="36"/>
          <w:highlight w:val="yellow"/>
        </w:rPr>
        <w:t>第二部分 设备安装工程项目清单和技术要求</w:t>
      </w:r>
      <w:bookmarkEnd w:id="3"/>
      <w:bookmarkEnd w:id="4"/>
      <w:bookmarkEnd w:id="5"/>
    </w:p>
    <w:tbl>
      <w:tblPr>
        <w:tblStyle w:val="19"/>
        <w:tblW w:w="9650" w:type="dxa"/>
        <w:tblInd w:w="97" w:type="dxa"/>
        <w:tblLayout w:type="fixed"/>
        <w:tblCellMar>
          <w:top w:w="0" w:type="dxa"/>
          <w:left w:w="108" w:type="dxa"/>
          <w:bottom w:w="0" w:type="dxa"/>
          <w:right w:w="108" w:type="dxa"/>
        </w:tblCellMar>
      </w:tblPr>
      <w:tblGrid>
        <w:gridCol w:w="640"/>
        <w:gridCol w:w="2300"/>
        <w:gridCol w:w="2600"/>
        <w:gridCol w:w="640"/>
        <w:gridCol w:w="880"/>
        <w:gridCol w:w="720"/>
        <w:gridCol w:w="878"/>
        <w:gridCol w:w="992"/>
      </w:tblGrid>
      <w:tr>
        <w:tblPrEx>
          <w:tblCellMar>
            <w:top w:w="0" w:type="dxa"/>
            <w:left w:w="108" w:type="dxa"/>
            <w:bottom w:w="0" w:type="dxa"/>
            <w:right w:w="108" w:type="dxa"/>
          </w:tblCellMar>
        </w:tblPrEx>
        <w:trPr>
          <w:trHeight w:val="915" w:hRule="atLeast"/>
        </w:trPr>
        <w:tc>
          <w:tcPr>
            <w:tcW w:w="9650" w:type="dxa"/>
            <w:gridSpan w:val="8"/>
            <w:tcBorders>
              <w:left w:val="nil"/>
              <w:bottom w:val="single" w:color="auto" w:sz="4" w:space="0"/>
              <w:right w:val="nil"/>
            </w:tcBorders>
            <w:shd w:val="clear" w:color="auto" w:fill="auto"/>
            <w:vAlign w:val="center"/>
          </w:tcPr>
          <w:p>
            <w:pPr>
              <w:pStyle w:val="18"/>
              <w:ind w:left="0" w:leftChars="0" w:firstLine="0" w:firstLineChars="0"/>
            </w:pPr>
          </w:p>
          <w:p>
            <w:pPr>
              <w:widowControl/>
              <w:jc w:val="center"/>
              <w:rPr>
                <w:rFonts w:ascii="宋体" w:hAnsi="宋体" w:cs="宋体"/>
                <w:b/>
                <w:bCs/>
                <w:kern w:val="0"/>
                <w:sz w:val="32"/>
                <w:szCs w:val="32"/>
              </w:rPr>
            </w:pPr>
            <w:r>
              <w:rPr>
                <w:rFonts w:hint="eastAsia" w:ascii="宋体" w:hAnsi="宋体" w:cs="宋体"/>
                <w:b/>
                <w:bCs/>
                <w:kern w:val="0"/>
                <w:sz w:val="24"/>
              </w:rPr>
              <w:t>机械通风设备安装工程清单(48*24)四幢</w:t>
            </w:r>
          </w:p>
        </w:tc>
      </w:tr>
      <w:tr>
        <w:tblPrEx>
          <w:tblCellMar>
            <w:top w:w="0" w:type="dxa"/>
            <w:left w:w="108" w:type="dxa"/>
            <w:bottom w:w="0" w:type="dxa"/>
            <w:right w:w="108" w:type="dxa"/>
          </w:tblCellMar>
        </w:tblPrEx>
        <w:trPr>
          <w:trHeight w:val="499"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名  称</w:t>
            </w:r>
          </w:p>
        </w:tc>
        <w:tc>
          <w:tcPr>
            <w:tcW w:w="2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规     格</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单位</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单价(元)</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总价(元)</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2"/>
              </w:rPr>
            </w:pPr>
            <w:r>
              <w:rPr>
                <w:rFonts w:hint="eastAsia" w:ascii="宋体" w:hAnsi="宋体" w:cs="宋体"/>
                <w:b/>
                <w:bCs/>
                <w:kern w:val="0"/>
                <w:sz w:val="22"/>
              </w:rPr>
              <w:t>备  注</w:t>
            </w:r>
          </w:p>
        </w:tc>
      </w:tr>
      <w:tr>
        <w:tblPrEx>
          <w:tblCellMar>
            <w:top w:w="0" w:type="dxa"/>
            <w:left w:w="108" w:type="dxa"/>
            <w:bottom w:w="0" w:type="dxa"/>
            <w:right w:w="108" w:type="dxa"/>
          </w:tblCellMar>
        </w:tblPrEx>
        <w:trPr>
          <w:trHeight w:val="49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1</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保温通风门</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800*800*50mm</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24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2</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通风口配套件</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700*700*4mm</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24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4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3</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分配箱</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750</w:t>
            </w:r>
            <w:r>
              <w:rPr>
                <w:rFonts w:hint="eastAsia" w:ascii="宋体" w:hAnsi="宋体" w:cs="宋体"/>
                <w:kern w:val="0"/>
                <w:sz w:val="22"/>
              </w:rPr>
              <w:t>×</w:t>
            </w:r>
            <w:r>
              <w:rPr>
                <w:rFonts w:hint="eastAsia" w:ascii="SimSun-ExtB" w:hAnsi="SimSun-ExtB" w:eastAsia="SimSun-ExtB" w:cs="宋体"/>
                <w:kern w:val="0"/>
                <w:sz w:val="22"/>
              </w:rPr>
              <w:t>600</w:t>
            </w:r>
            <w:r>
              <w:rPr>
                <w:rFonts w:hint="eastAsia" w:ascii="宋体" w:hAnsi="宋体" w:cs="宋体"/>
                <w:kern w:val="0"/>
                <w:sz w:val="22"/>
              </w:rPr>
              <w:t>×</w:t>
            </w:r>
            <w:r>
              <w:rPr>
                <w:rFonts w:hint="eastAsia" w:ascii="SimSun-ExtB" w:hAnsi="SimSun-ExtB" w:eastAsia="SimSun-ExtB" w:cs="宋体"/>
                <w:kern w:val="0"/>
                <w:sz w:val="22"/>
              </w:rPr>
              <w:t>500*3.5mm</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24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4</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主风道</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1000*600*420*3mm</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m</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192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5</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支风道</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1000*400*280*2mmm</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m</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1080</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6</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四通</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600*400*3mm</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48</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94"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7</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三通</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600*400*3mm</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24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13"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8</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堵头</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D400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144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33"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9</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通风接口</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Φ</w:t>
            </w:r>
            <w:r>
              <w:rPr>
                <w:rFonts w:hint="eastAsia" w:ascii="SimSun-ExtB" w:hAnsi="SimSun-ExtB" w:eastAsia="SimSun-ExtB" w:cs="宋体"/>
                <w:kern w:val="0"/>
                <w:sz w:val="22"/>
              </w:rPr>
              <w:t>460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12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10</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仓底专用风机</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T35-11No4.</w:t>
            </w:r>
            <w:r>
              <w:rPr>
                <w:rFonts w:hint="eastAsia" w:ascii="宋体" w:hAnsi="宋体" w:cs="宋体"/>
                <w:kern w:val="0"/>
                <w:sz w:val="22"/>
              </w:rPr>
              <w:t>功率</w:t>
            </w:r>
            <w:r>
              <w:rPr>
                <w:rFonts w:hint="eastAsia" w:ascii="SimSun-ExtB" w:hAnsi="SimSun-ExtB" w:eastAsia="SimSun-ExtB" w:cs="宋体"/>
                <w:kern w:val="0"/>
                <w:sz w:val="22"/>
              </w:rPr>
              <w:t>:</w:t>
            </w:r>
            <w:r>
              <w:rPr>
                <w:rFonts w:hint="eastAsia" w:ascii="SimSun-ExtB" w:hAnsi="SimSun-ExtB" w:eastAsia="SimSun-ExtB" w:cs="宋体"/>
                <w:b/>
                <w:bCs/>
                <w:kern w:val="0"/>
                <w:sz w:val="22"/>
              </w:rPr>
              <w:t>3kw</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24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11</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移动专用风机</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4-72No4.5A</w:t>
            </w:r>
            <w:r>
              <w:rPr>
                <w:rFonts w:hint="eastAsia" w:ascii="宋体" w:hAnsi="宋体" w:cs="宋体"/>
                <w:kern w:val="0"/>
                <w:sz w:val="22"/>
              </w:rPr>
              <w:t>功率</w:t>
            </w:r>
            <w:r>
              <w:rPr>
                <w:rFonts w:hint="eastAsia" w:ascii="SimSun-ExtB" w:hAnsi="SimSun-ExtB" w:eastAsia="SimSun-ExtB" w:cs="宋体"/>
                <w:kern w:val="0"/>
                <w:sz w:val="22"/>
              </w:rPr>
              <w:t>:11kw</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SimSun-ExtB" w:hAnsi="SimSun-ExtB" w:eastAsia="SimSun-ExtB" w:cs="宋体"/>
                <w:kern w:val="0"/>
                <w:sz w:val="22"/>
              </w:rPr>
              <w:t>6</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SimSun-ExtB" w:hAnsi="SimSun-ExtB" w:eastAsia="SimSun-ExtB"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778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合计</w:t>
            </w:r>
            <w:r>
              <w:rPr>
                <w:rFonts w:hint="eastAsia" w:ascii="SimSun-ExtB" w:hAnsi="SimSun-ExtB" w:eastAsia="SimSun-ExtB" w:cs="宋体"/>
                <w:kern w:val="0"/>
                <w:sz w:val="22"/>
              </w:rPr>
              <w:t>:</w:t>
            </w:r>
            <w:r>
              <w:rPr>
                <w:rFonts w:hint="eastAsia"/>
              </w:rPr>
              <w:t xml:space="preserve"> </w:t>
            </w:r>
            <w:r>
              <w:rPr>
                <w:rFonts w:hint="eastAsia" w:ascii="宋体" w:hAnsi="宋体" w:cs="宋体"/>
                <w:kern w:val="0"/>
                <w:sz w:val="22"/>
              </w:rPr>
              <w:t>最高限价488000元</w:t>
            </w:r>
          </w:p>
        </w:tc>
        <w:tc>
          <w:tcPr>
            <w:tcW w:w="878" w:type="dxa"/>
            <w:tcBorders>
              <w:top w:val="nil"/>
              <w:left w:val="nil"/>
              <w:bottom w:val="single" w:color="auto" w:sz="4" w:space="0"/>
              <w:right w:val="single" w:color="auto" w:sz="4" w:space="0"/>
            </w:tcBorders>
            <w:shd w:val="clear" w:color="auto" w:fill="auto"/>
            <w:noWrap/>
            <w:vAlign w:val="center"/>
          </w:tcPr>
          <w:p>
            <w:pPr>
              <w:widowControl/>
              <w:jc w:val="center"/>
              <w:rPr>
                <w:rFonts w:ascii="SimSun-ExtB" w:hAnsi="SimSun-ExtB" w:eastAsia="SimSun-ExtB" w:cs="宋体"/>
                <w:b/>
                <w:bCs/>
                <w:kern w:val="0"/>
                <w:sz w:val="22"/>
              </w:rPr>
            </w:pPr>
            <w:r>
              <w:rPr>
                <w:rFonts w:hint="eastAsia" w:ascii="宋体" w:hAnsi="宋体" w:cs="宋体"/>
                <w:b/>
                <w:bCs/>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SimSun-ExtB" w:hAnsi="SimSun-ExtB" w:eastAsia="SimSun-ExtB" w:cs="宋体"/>
                <w:kern w:val="0"/>
                <w:sz w:val="22"/>
              </w:rPr>
            </w:pPr>
            <w:r>
              <w:rPr>
                <w:rFonts w:hint="eastAsia" w:ascii="宋体" w:hAnsi="宋体" w:cs="宋体"/>
                <w:kern w:val="0"/>
                <w:sz w:val="22"/>
              </w:rPr>
              <w:t>　</w:t>
            </w:r>
          </w:p>
        </w:tc>
      </w:tr>
    </w:tbl>
    <w:p>
      <w:pPr>
        <w:autoSpaceDE w:val="0"/>
        <w:autoSpaceDN w:val="0"/>
        <w:adjustRightInd w:val="0"/>
        <w:spacing w:before="9" w:line="90" w:lineRule="exact"/>
        <w:jc w:val="left"/>
        <w:rPr>
          <w:rFonts w:ascii="宋体" w:hAnsi="宋体"/>
          <w:kern w:val="0"/>
          <w:sz w:val="9"/>
          <w:szCs w:val="9"/>
        </w:rPr>
      </w:pPr>
    </w:p>
    <w:p>
      <w:pPr>
        <w:pStyle w:val="18"/>
        <w:sectPr>
          <w:pgSz w:w="11907" w:h="16839"/>
          <w:pgMar w:top="1134" w:right="1134" w:bottom="1134" w:left="1418" w:header="0" w:footer="721" w:gutter="0"/>
          <w:cols w:space="720" w:num="1"/>
          <w:docGrid w:linePitch="286" w:charSpace="0"/>
        </w:sectPr>
      </w:pPr>
    </w:p>
    <w:p>
      <w:pPr>
        <w:spacing w:line="360" w:lineRule="auto"/>
        <w:ind w:firstLine="723" w:firstLineChars="200"/>
        <w:jc w:val="center"/>
        <w:rPr>
          <w:rFonts w:ascii="宋体" w:hAnsi="宋体" w:cs="宋体"/>
          <w:b/>
          <w:bCs/>
          <w:sz w:val="36"/>
          <w:szCs w:val="36"/>
        </w:rPr>
      </w:pPr>
      <w:r>
        <w:rPr>
          <w:rFonts w:hint="eastAsia" w:ascii="宋体" w:hAnsi="宋体" w:cs="宋体"/>
          <w:b/>
          <w:bCs/>
          <w:sz w:val="36"/>
          <w:szCs w:val="36"/>
        </w:rPr>
        <w:t>工艺设备技术规格要求</w:t>
      </w:r>
    </w:p>
    <w:p>
      <w:pPr>
        <w:spacing w:line="440" w:lineRule="exact"/>
        <w:ind w:firstLine="480" w:firstLineChars="200"/>
        <w:rPr>
          <w:rFonts w:ascii="宋体" w:hAnsi="宋体"/>
          <w:sz w:val="24"/>
          <w:szCs w:val="28"/>
        </w:rPr>
      </w:pPr>
      <w:r>
        <w:rPr>
          <w:rFonts w:hint="eastAsia" w:ascii="宋体" w:hAnsi="宋体"/>
          <w:sz w:val="24"/>
          <w:szCs w:val="28"/>
        </w:rPr>
        <w:t>机械通风系统由保温进风门、通风口配套件、空气分配箱、地上笼（主风道和支风道）、轴流风机和离心通风机等设备组成，双面通风，采用倒U型地上笼通风通道形式；地上笼主风道与仓下通风口之间采用空气分配箱连接；支风道与主风道采用四通相连，风道开桥式送风孔。</w:t>
      </w:r>
    </w:p>
    <w:p>
      <w:pPr>
        <w:spacing w:line="440" w:lineRule="exact"/>
        <w:rPr>
          <w:rFonts w:ascii="宋体" w:hAnsi="宋体"/>
          <w:b/>
          <w:bCs/>
          <w:sz w:val="24"/>
          <w:szCs w:val="28"/>
        </w:rPr>
      </w:pPr>
      <w:r>
        <w:rPr>
          <w:rFonts w:hint="eastAsia" w:ascii="宋体" w:hAnsi="宋体"/>
          <w:b/>
          <w:bCs/>
          <w:sz w:val="24"/>
          <w:szCs w:val="28"/>
        </w:rPr>
        <w:t>1.</w:t>
      </w:r>
      <w:r>
        <w:rPr>
          <w:rFonts w:hint="eastAsia" w:ascii="宋体" w:hAnsi="宋体" w:cs="宋体"/>
          <w:bCs/>
          <w:kern w:val="0"/>
          <w:szCs w:val="21"/>
        </w:rPr>
        <w:t xml:space="preserve"> ★</w:t>
      </w:r>
      <w:r>
        <w:rPr>
          <w:rFonts w:hint="eastAsia" w:ascii="宋体" w:hAnsi="宋体"/>
          <w:b/>
          <w:bCs/>
          <w:sz w:val="24"/>
          <w:szCs w:val="28"/>
        </w:rPr>
        <w:t>保温通风口门：</w:t>
      </w:r>
    </w:p>
    <w:p>
      <w:pPr>
        <w:spacing w:line="440" w:lineRule="exact"/>
        <w:ind w:firstLine="480" w:firstLineChars="200"/>
        <w:rPr>
          <w:rFonts w:ascii="宋体" w:hAnsi="宋体"/>
          <w:sz w:val="24"/>
          <w:szCs w:val="28"/>
        </w:rPr>
      </w:pPr>
      <w:r>
        <w:rPr>
          <w:rFonts w:hint="eastAsia" w:ascii="宋体" w:hAnsi="宋体"/>
          <w:sz w:val="24"/>
          <w:szCs w:val="28"/>
        </w:rPr>
        <w:t>规格800*800*50mm.材料采用外侧和内侧分别采用2mm厚304不锈钢制作，中间填充50mm厚自熄聚苯板保温层，四周采用三元乙丙橡胶密封条密封，要求在550Pa压力下半衰期大于120秒，热阻R大于等于0.6m2K/W。门应启闭灵活，开启角大于120度，并与粉刷后墙面平齐，密封性能良好。门需防磷化氢腐蚀，抗氧化性能良好，能够防雨、防风及防渗。</w:t>
      </w:r>
    </w:p>
    <w:p>
      <w:pPr>
        <w:spacing w:line="440" w:lineRule="exact"/>
        <w:rPr>
          <w:rFonts w:ascii="宋体" w:hAnsi="宋体"/>
          <w:b/>
          <w:bCs/>
          <w:sz w:val="24"/>
          <w:szCs w:val="28"/>
        </w:rPr>
      </w:pPr>
      <w:r>
        <w:rPr>
          <w:rFonts w:hint="eastAsia" w:ascii="宋体" w:hAnsi="宋体"/>
          <w:b/>
          <w:bCs/>
          <w:sz w:val="24"/>
          <w:szCs w:val="28"/>
        </w:rPr>
        <w:t>2.通风口配套件：</w:t>
      </w:r>
    </w:p>
    <w:p>
      <w:pPr>
        <w:spacing w:line="440" w:lineRule="exact"/>
        <w:ind w:firstLine="710" w:firstLineChars="296"/>
        <w:rPr>
          <w:rFonts w:ascii="宋体" w:hAnsi="宋体"/>
          <w:sz w:val="24"/>
          <w:szCs w:val="28"/>
        </w:rPr>
      </w:pPr>
      <w:r>
        <w:rPr>
          <w:rFonts w:hint="eastAsia" w:ascii="宋体" w:hAnsi="宋体"/>
          <w:sz w:val="24"/>
          <w:szCs w:val="28"/>
        </w:rPr>
        <w:t>规格</w:t>
      </w:r>
      <w:r>
        <w:rPr>
          <w:rFonts w:hint="eastAsia" w:ascii="宋体" w:hAnsi="宋体" w:cs="宋体"/>
          <w:sz w:val="24"/>
          <w:szCs w:val="28"/>
        </w:rPr>
        <w:t>700*700*400</w:t>
      </w:r>
      <w:r>
        <w:rPr>
          <w:rFonts w:hint="eastAsia" w:ascii="宋体" w:hAnsi="宋体"/>
          <w:sz w:val="24"/>
          <w:szCs w:val="28"/>
        </w:rPr>
        <w:t>mm.材料采用3.5mm钢板制作。通风口的制作安装确保符合设计要求和国家相关质量标准，焊接工艺符合国家规范和行业规范。气密性符合设计图纸要求。所用钢板除锈防腐，两遍锈漆，漆面均匀。通风门根据图纸尺寸制作安装。</w:t>
      </w:r>
    </w:p>
    <w:p>
      <w:pPr>
        <w:spacing w:line="440" w:lineRule="exact"/>
        <w:rPr>
          <w:rFonts w:ascii="宋体" w:hAnsi="宋体"/>
          <w:b/>
          <w:bCs/>
          <w:sz w:val="24"/>
          <w:szCs w:val="28"/>
        </w:rPr>
      </w:pPr>
      <w:r>
        <w:rPr>
          <w:rFonts w:hint="eastAsia" w:ascii="宋体" w:hAnsi="宋体"/>
          <w:b/>
          <w:bCs/>
          <w:sz w:val="24"/>
          <w:szCs w:val="28"/>
        </w:rPr>
        <w:t>3.空气分配箱：</w:t>
      </w:r>
    </w:p>
    <w:p>
      <w:pPr>
        <w:spacing w:line="440" w:lineRule="exact"/>
        <w:ind w:firstLine="470" w:firstLineChars="196"/>
        <w:rPr>
          <w:rFonts w:ascii="宋体" w:hAnsi="宋体"/>
          <w:sz w:val="24"/>
          <w:szCs w:val="28"/>
        </w:rPr>
      </w:pPr>
      <w:r>
        <w:rPr>
          <w:rFonts w:ascii="宋体" w:hAnsi="宋体"/>
          <w:sz w:val="24"/>
          <w:szCs w:val="28"/>
        </w:rPr>
        <w:t>650*600*500</w:t>
      </w:r>
      <w:r>
        <w:rPr>
          <w:rFonts w:hint="eastAsia" w:ascii="宋体" w:hAnsi="宋体"/>
          <w:sz w:val="24"/>
          <w:szCs w:val="28"/>
        </w:rPr>
        <w:t>mm.材料采用框架为50*50*5mm角钢，面板为3.5mm厚冷轧钢板，加强筋为－40*8mm扁钢，加强筋与箱体满焊，并焊接牢固，空气分配箱所有材料和附件均需做防腐、防锈及防磷化氢腐蚀处理。</w:t>
      </w:r>
    </w:p>
    <w:p>
      <w:pPr>
        <w:spacing w:line="440" w:lineRule="exact"/>
        <w:rPr>
          <w:rFonts w:ascii="宋体" w:hAnsi="宋体"/>
          <w:b/>
          <w:bCs/>
          <w:sz w:val="24"/>
          <w:szCs w:val="28"/>
        </w:rPr>
      </w:pPr>
      <w:r>
        <w:rPr>
          <w:rFonts w:hint="eastAsia" w:ascii="宋体" w:hAnsi="宋体"/>
          <w:b/>
          <w:bCs/>
          <w:sz w:val="24"/>
          <w:szCs w:val="28"/>
        </w:rPr>
        <w:t>4.主风道:</w:t>
      </w:r>
      <w:bookmarkStart w:id="6" w:name="OLE_LINK10"/>
      <w:bookmarkStart w:id="7" w:name="OLE_LINK9"/>
    </w:p>
    <w:p>
      <w:pPr>
        <w:spacing w:line="440" w:lineRule="exact"/>
        <w:ind w:firstLine="475" w:firstLineChars="198"/>
        <w:rPr>
          <w:rFonts w:ascii="宋体" w:hAnsi="宋体"/>
          <w:sz w:val="24"/>
          <w:szCs w:val="28"/>
        </w:rPr>
      </w:pPr>
      <w:r>
        <w:rPr>
          <w:rFonts w:hint="eastAsia" w:ascii="宋体" w:hAnsi="宋体"/>
          <w:sz w:val="24"/>
          <w:szCs w:val="28"/>
        </w:rPr>
        <w:t>1000*600*420mm.材料采用3mm厚冷轧钢板制作、表面热镀锌处理，每米主风道内置3根∮10拉杆，风道应分段。</w:t>
      </w:r>
    </w:p>
    <w:bookmarkEnd w:id="6"/>
    <w:bookmarkEnd w:id="7"/>
    <w:p>
      <w:pPr>
        <w:pStyle w:val="18"/>
        <w:ind w:firstLine="0" w:firstLineChars="0"/>
        <w:rPr>
          <w:rFonts w:ascii="宋体" w:hAnsi="宋体"/>
          <w:b/>
          <w:bCs/>
          <w:sz w:val="24"/>
          <w:szCs w:val="28"/>
        </w:rPr>
      </w:pPr>
      <w:r>
        <w:rPr>
          <w:rFonts w:hint="eastAsia" w:hAnsi="宋体"/>
          <w:sz w:val="24"/>
          <w:szCs w:val="28"/>
        </w:rPr>
        <w:t>5.</w:t>
      </w:r>
      <w:r>
        <w:rPr>
          <w:rFonts w:hint="eastAsia" w:ascii="宋体" w:hAnsi="宋体" w:cs="宋体"/>
          <w:bCs/>
          <w:szCs w:val="21"/>
        </w:rPr>
        <w:t xml:space="preserve"> ★</w:t>
      </w:r>
      <w:r>
        <w:rPr>
          <w:rFonts w:hint="eastAsia" w:ascii="宋体" w:hAnsi="宋体"/>
          <w:b/>
          <w:bCs/>
          <w:sz w:val="24"/>
          <w:szCs w:val="28"/>
        </w:rPr>
        <w:t>支风道:</w:t>
      </w:r>
    </w:p>
    <w:p>
      <w:pPr>
        <w:pStyle w:val="18"/>
        <w:ind w:firstLine="470" w:firstLineChars="196"/>
        <w:rPr>
          <w:rFonts w:ascii="宋体" w:hAnsi="宋体"/>
          <w:sz w:val="24"/>
          <w:szCs w:val="28"/>
        </w:rPr>
      </w:pPr>
      <w:r>
        <w:rPr>
          <w:rFonts w:hint="eastAsia" w:ascii="宋体" w:hAnsi="宋体"/>
          <w:sz w:val="24"/>
          <w:szCs w:val="28"/>
        </w:rPr>
        <w:t>1000*400*280mm.材料采用2mm厚冷轧钢板制作，表面镀锌处理，每米风道内置2根</w:t>
      </w:r>
      <w:r>
        <w:rPr>
          <w:rFonts w:hint="eastAsia" w:ascii="宋体" w:hAnsi="宋体" w:cs="宋体"/>
          <w:sz w:val="24"/>
          <w:szCs w:val="28"/>
        </w:rPr>
        <w:t>ф</w:t>
      </w:r>
      <w:r>
        <w:rPr>
          <w:rFonts w:hint="eastAsia" w:ascii="宋体" w:hAnsi="宋体"/>
          <w:sz w:val="24"/>
          <w:szCs w:val="28"/>
        </w:rPr>
        <w:t>8拉杆，风道应分段，每段长1米。支风道开孔率为30%，桥式孔，孔眼以不漏粮为限。主风道、支风道和四通、三通之间采用搭接方式连接，并以柱销连接固定。</w:t>
      </w:r>
    </w:p>
    <w:p>
      <w:pPr>
        <w:spacing w:line="440" w:lineRule="exact"/>
        <w:ind w:firstLine="241" w:firstLineChars="100"/>
        <w:rPr>
          <w:rFonts w:ascii="宋体" w:hAnsi="宋体"/>
          <w:sz w:val="24"/>
          <w:szCs w:val="28"/>
        </w:rPr>
      </w:pPr>
      <w:r>
        <w:rPr>
          <w:rFonts w:hint="eastAsia"/>
          <w:b/>
          <w:sz w:val="24"/>
        </w:rPr>
        <w:t>6、三通、四通</w:t>
      </w:r>
      <w:r>
        <w:rPr>
          <w:rFonts w:hint="eastAsia" w:ascii="宋体" w:hAnsi="宋体"/>
          <w:sz w:val="24"/>
          <w:szCs w:val="28"/>
        </w:rPr>
        <w:t>：</w:t>
      </w:r>
    </w:p>
    <w:p>
      <w:pPr>
        <w:spacing w:line="440" w:lineRule="exact"/>
        <w:ind w:firstLine="600" w:firstLineChars="250"/>
        <w:rPr>
          <w:rFonts w:ascii="宋体" w:hAnsi="宋体"/>
          <w:sz w:val="24"/>
          <w:szCs w:val="28"/>
        </w:rPr>
      </w:pPr>
      <w:r>
        <w:rPr>
          <w:rFonts w:hint="eastAsia" w:ascii="宋体" w:hAnsi="宋体"/>
          <w:sz w:val="24"/>
          <w:szCs w:val="28"/>
        </w:rPr>
        <w:t>600*420-400*280.材料采用3mm厚冷轧钢板制作、表面热镀锌处理，每米主风道内置2根∮10拉杆，风道应分段。</w:t>
      </w:r>
    </w:p>
    <w:p>
      <w:pPr>
        <w:spacing w:line="440" w:lineRule="exact"/>
        <w:ind w:firstLine="480" w:firstLineChars="200"/>
        <w:rPr>
          <w:rFonts w:ascii="宋体" w:hAnsi="宋体"/>
          <w:sz w:val="24"/>
          <w:szCs w:val="28"/>
        </w:rPr>
      </w:pPr>
      <w:r>
        <w:rPr>
          <w:rFonts w:hint="eastAsia" w:ascii="宋体" w:hAnsi="宋体"/>
          <w:sz w:val="24"/>
          <w:szCs w:val="28"/>
        </w:rPr>
        <w:t>地上笼综合风道系统应能承受8m堆粮（小麦）的静载荷压力以及装粮时的动载荷压力。所有风道与构件必须严格按照设计图纸和有关规范要求制作、安装和系统调试，风道及所有构件必须除锈、镀锌防腐处理。风道薄板材料为GB708－88#冷轧板。</w:t>
      </w:r>
    </w:p>
    <w:p>
      <w:pPr>
        <w:spacing w:line="440" w:lineRule="exact"/>
        <w:rPr>
          <w:rFonts w:ascii="宋体" w:hAnsi="宋体"/>
          <w:b/>
          <w:bCs/>
          <w:sz w:val="24"/>
          <w:szCs w:val="28"/>
        </w:rPr>
      </w:pPr>
      <w:r>
        <w:rPr>
          <w:rFonts w:hint="eastAsia" w:ascii="宋体" w:hAnsi="宋体"/>
          <w:b/>
          <w:bCs/>
          <w:sz w:val="24"/>
          <w:szCs w:val="28"/>
        </w:rPr>
        <w:t>7.轴流风机：</w:t>
      </w:r>
    </w:p>
    <w:p>
      <w:pPr>
        <w:spacing w:line="440" w:lineRule="exact"/>
        <w:ind w:firstLine="470" w:firstLineChars="196"/>
        <w:rPr>
          <w:rFonts w:ascii="宋体" w:hAnsi="宋体"/>
          <w:sz w:val="24"/>
          <w:szCs w:val="28"/>
        </w:rPr>
      </w:pPr>
      <w:r>
        <w:rPr>
          <w:rFonts w:hint="eastAsia" w:ascii="宋体" w:hAnsi="宋体"/>
          <w:sz w:val="24"/>
          <w:szCs w:val="28"/>
        </w:rPr>
        <w:t>T35-11№4轴流风机，主轴转速2900r/min，全压750.2Pa，风量9600m3/h，配用电机功率3KW。</w:t>
      </w:r>
    </w:p>
    <w:p>
      <w:pPr>
        <w:spacing w:line="440" w:lineRule="exact"/>
        <w:ind w:firstLine="420" w:firstLineChars="175"/>
        <w:rPr>
          <w:rFonts w:ascii="宋体" w:hAnsi="宋体"/>
          <w:sz w:val="24"/>
          <w:szCs w:val="28"/>
        </w:rPr>
      </w:pPr>
      <w:r>
        <w:rPr>
          <w:rFonts w:hint="eastAsia" w:ascii="宋体" w:hAnsi="宋体"/>
          <w:sz w:val="24"/>
          <w:szCs w:val="28"/>
        </w:rPr>
        <w:t xml:space="preserve"> 制造风机的材料、设计尺寸、机械加工、焊接铆固、装配等均需符合国家（行业）现行规范和标准，风机出厂前需做动平衡试验、整机运行试验和性能检测，其技术参数、噪音、振动情况和机械电气性能均应符合国家现行有关标准、规范和本次设计要求。</w:t>
      </w:r>
    </w:p>
    <w:p>
      <w:pPr>
        <w:spacing w:line="440" w:lineRule="exact"/>
        <w:ind w:firstLine="420" w:firstLineChars="175"/>
        <w:rPr>
          <w:rFonts w:ascii="宋体" w:hAnsi="宋体"/>
          <w:sz w:val="24"/>
          <w:szCs w:val="28"/>
        </w:rPr>
      </w:pPr>
      <w:r>
        <w:rPr>
          <w:rFonts w:hint="eastAsia" w:ascii="宋体" w:hAnsi="宋体"/>
          <w:sz w:val="24"/>
          <w:szCs w:val="28"/>
        </w:rPr>
        <w:t>仓底风机均为防腐、防水、防尘型，防护等级应达到IP55。仓底轴流风机应能正转使用和反转使用，无论正转和反转，其全压和风量均应达到工艺设计要求。</w:t>
      </w:r>
    </w:p>
    <w:p>
      <w:pPr>
        <w:spacing w:line="360" w:lineRule="auto"/>
        <w:rPr>
          <w:rFonts w:ascii="宋体" w:hAnsi="宋体" w:cs="宋体"/>
          <w:b/>
          <w:sz w:val="24"/>
        </w:rPr>
      </w:pPr>
      <w:r>
        <w:rPr>
          <w:rFonts w:hint="eastAsia" w:ascii="宋体" w:hAnsi="宋体" w:cs="宋体"/>
          <w:b/>
          <w:sz w:val="24"/>
        </w:rPr>
        <w:t>8.移动式离心风机：</w:t>
      </w:r>
    </w:p>
    <w:p>
      <w:pPr>
        <w:spacing w:line="360" w:lineRule="auto"/>
        <w:ind w:firstLine="564"/>
        <w:rPr>
          <w:rFonts w:ascii="宋体" w:hAnsi="宋体" w:cs="宋体"/>
          <w:sz w:val="24"/>
        </w:rPr>
      </w:pPr>
      <w:r>
        <w:rPr>
          <w:rFonts w:hint="eastAsia" w:ascii="宋体" w:hAnsi="宋体" w:cs="宋体"/>
          <w:bCs/>
          <w:sz w:val="24"/>
        </w:rPr>
        <w:t>a、4-72</w:t>
      </w:r>
      <w:r>
        <w:rPr>
          <w:rFonts w:hint="eastAsia" w:ascii="宋体" w:hAnsi="宋体" w:cs="宋体"/>
          <w:bCs/>
          <w:sz w:val="24"/>
          <w:u w:val="single"/>
        </w:rPr>
        <w:t>NO</w:t>
      </w:r>
      <w:r>
        <w:rPr>
          <w:rFonts w:hint="eastAsia" w:ascii="宋体" w:hAnsi="宋体" w:cs="宋体"/>
          <w:bCs/>
          <w:sz w:val="24"/>
        </w:rPr>
        <w:t>4.2a；</w:t>
      </w:r>
      <w:r>
        <w:rPr>
          <w:rFonts w:hint="eastAsia" w:ascii="宋体" w:hAnsi="宋体" w:cs="宋体"/>
          <w:sz w:val="24"/>
        </w:rPr>
        <w:t>主轴转速2900转/分，全压1542帕斯卡，流量13008立方米/小时，功率11KW。</w:t>
      </w:r>
    </w:p>
    <w:p>
      <w:pPr>
        <w:spacing w:line="360" w:lineRule="auto"/>
        <w:ind w:firstLine="564"/>
        <w:rPr>
          <w:rFonts w:ascii="宋体" w:hAnsi="宋体" w:cs="宋体"/>
          <w:bCs/>
          <w:sz w:val="24"/>
        </w:rPr>
      </w:pPr>
      <w:r>
        <w:rPr>
          <w:rFonts w:hint="eastAsia" w:ascii="宋体" w:hAnsi="宋体" w:cs="宋体"/>
          <w:sz w:val="24"/>
        </w:rPr>
        <w:t>b、4－72№5a型降温（湿）离心风应装配在方便移动行走的支架上，支架应具有足够的强度和刚度，风机（电机）与支架之间有减震措施，风机进出口有隔震软连接，风机出口管与仓底通风口应能连接紧密，</w:t>
      </w:r>
      <w:r>
        <w:rPr>
          <w:rFonts w:hint="eastAsia" w:ascii="宋体" w:hAnsi="宋体" w:cs="宋体"/>
          <w:bCs/>
          <w:sz w:val="24"/>
        </w:rPr>
        <w:t>装卸方便</w:t>
      </w:r>
    </w:p>
    <w:p>
      <w:pPr>
        <w:spacing w:line="360" w:lineRule="auto"/>
        <w:jc w:val="left"/>
        <w:rPr>
          <w:rFonts w:ascii="宋体" w:hAnsi="宋体" w:cs="宋体"/>
          <w:bCs/>
          <w:sz w:val="24"/>
        </w:rPr>
      </w:pPr>
      <w:r>
        <w:rPr>
          <w:rFonts w:hint="eastAsia" w:ascii="宋体" w:hAnsi="宋体" w:cs="宋体"/>
          <w:b/>
          <w:bCs/>
          <w:sz w:val="24"/>
        </w:rPr>
        <w:t>9.粮面</w:t>
      </w:r>
      <w:r>
        <w:rPr>
          <w:rFonts w:ascii="宋体" w:hAnsi="宋体" w:cs="宋体"/>
          <w:b/>
          <w:bCs/>
          <w:sz w:val="24"/>
        </w:rPr>
        <w:t>轴流风机T35-11-No5.6：</w:t>
      </w:r>
    </w:p>
    <w:p>
      <w:pPr>
        <w:spacing w:line="360" w:lineRule="auto"/>
        <w:ind w:firstLine="564"/>
        <w:rPr>
          <w:rFonts w:ascii="宋体" w:hAnsi="宋体" w:cs="宋体"/>
          <w:bCs/>
          <w:sz w:val="24"/>
        </w:rPr>
      </w:pPr>
      <w:r>
        <w:rPr>
          <w:rFonts w:ascii="宋体" w:hAnsi="宋体" w:cs="宋体"/>
          <w:bCs/>
          <w:sz w:val="24"/>
        </w:rPr>
        <w:t>规格和风量、风压、转速、配备动力、防护等级均需符合设计要求，制造风机的材料、设计尺寸、机械加工、焊接铆固、装配等均需符合国家（行业）现行规范和标准，风机出厂前需做动平衡试验、整机运行试验和性能检测，其技术参数、噪音、振动情况和机械电气性能均应符合国家现行有关标准、规范和本次设计要求</w:t>
      </w:r>
      <w:r>
        <w:rPr>
          <w:rFonts w:hint="eastAsia" w:ascii="宋体" w:hAnsi="宋体" w:cs="宋体"/>
          <w:bCs/>
          <w:sz w:val="24"/>
        </w:rPr>
        <w:t>,</w:t>
      </w:r>
      <w:r>
        <w:rPr>
          <w:rFonts w:ascii="宋体" w:hAnsi="宋体" w:cs="宋体"/>
          <w:bCs/>
          <w:sz w:val="24"/>
        </w:rPr>
        <w:t>粮面风机均为防腐、防水、防尘型，防护等级应达到IP55。。T35</w:t>
      </w:r>
      <w:r>
        <w:rPr>
          <w:rFonts w:hint="eastAsia" w:ascii="宋体" w:hAnsi="宋体" w:cs="宋体"/>
          <w:bCs/>
          <w:sz w:val="24"/>
        </w:rPr>
        <w:t>-</w:t>
      </w:r>
      <w:r>
        <w:rPr>
          <w:rFonts w:ascii="宋体" w:hAnsi="宋体" w:cs="宋体"/>
          <w:bCs/>
          <w:sz w:val="24"/>
        </w:rPr>
        <w:t>11№5.6轴流风机，主轴转速1450r/min，全压182.1Pa，风量11110m3/h，配用电机功率1.1KW</w:t>
      </w:r>
      <w:r>
        <w:rPr>
          <w:rFonts w:hint="eastAsia" w:ascii="宋体" w:hAnsi="宋体" w:cs="宋体"/>
          <w:bCs/>
          <w:sz w:val="24"/>
        </w:rPr>
        <w:t>.</w:t>
      </w:r>
    </w:p>
    <w:p>
      <w:pPr>
        <w:spacing w:line="440" w:lineRule="exact"/>
        <w:ind w:firstLine="492" w:firstLineChars="175"/>
        <w:jc w:val="center"/>
        <w:rPr>
          <w:rFonts w:ascii="宋体" w:hAnsi="宋体"/>
          <w:b/>
          <w:sz w:val="28"/>
          <w:szCs w:val="28"/>
        </w:rPr>
      </w:pPr>
    </w:p>
    <w:p>
      <w:pPr>
        <w:spacing w:line="440" w:lineRule="exact"/>
        <w:rPr>
          <w:rFonts w:ascii="宋体" w:hAnsi="宋体"/>
          <w:sz w:val="24"/>
          <w:szCs w:val="28"/>
        </w:rPr>
      </w:pPr>
      <w:r>
        <w:rPr>
          <w:rFonts w:hint="eastAsia" w:ascii="宋体" w:hAnsi="宋体"/>
          <w:b/>
          <w:bCs/>
          <w:sz w:val="24"/>
          <w:szCs w:val="28"/>
        </w:rPr>
        <w:t>注：1、带</w:t>
      </w:r>
      <w:bookmarkStart w:id="8" w:name="OLE_LINK15"/>
      <w:bookmarkStart w:id="9" w:name="OLE_LINK16"/>
      <w:r>
        <w:rPr>
          <w:rFonts w:hint="eastAsia" w:hAnsi="宋体"/>
          <w:sz w:val="24"/>
          <w:szCs w:val="28"/>
        </w:rPr>
        <w:t>★</w:t>
      </w:r>
      <w:bookmarkEnd w:id="8"/>
      <w:bookmarkEnd w:id="9"/>
      <w:r>
        <w:rPr>
          <w:rFonts w:hint="eastAsia" w:hAnsi="宋体"/>
          <w:sz w:val="24"/>
          <w:szCs w:val="28"/>
        </w:rPr>
        <w:t>的</w:t>
      </w:r>
      <w:r>
        <w:rPr>
          <w:rFonts w:hint="eastAsia" w:ascii="宋体" w:hAnsi="宋体"/>
          <w:b/>
          <w:bCs/>
          <w:sz w:val="24"/>
          <w:szCs w:val="28"/>
        </w:rPr>
        <w:t>供应商如实提供其响应文件中</w:t>
      </w:r>
      <w:bookmarkStart w:id="10" w:name="OLE_LINK7"/>
      <w:bookmarkStart w:id="11" w:name="OLE_LINK8"/>
      <w:r>
        <w:rPr>
          <w:rFonts w:hint="eastAsia" w:ascii="宋体" w:hAnsi="宋体"/>
          <w:b/>
          <w:bCs/>
          <w:sz w:val="24"/>
          <w:szCs w:val="28"/>
        </w:rPr>
        <w:t>所</w:t>
      </w:r>
      <w:r>
        <w:rPr>
          <w:rFonts w:hint="eastAsia" w:ascii="宋体" w:hAnsi="宋体"/>
          <w:b/>
          <w:sz w:val="24"/>
          <w:szCs w:val="28"/>
        </w:rPr>
        <w:t>提供第三方证明材料：证书、</w:t>
      </w:r>
      <w:r>
        <w:rPr>
          <w:rFonts w:hint="eastAsia" w:ascii="宋体" w:hAnsi="宋体"/>
          <w:b/>
          <w:bCs/>
          <w:sz w:val="24"/>
          <w:szCs w:val="28"/>
        </w:rPr>
        <w:t>彩页、等的复印件加盖（厂家）公章</w:t>
      </w:r>
      <w:bookmarkEnd w:id="10"/>
      <w:bookmarkEnd w:id="11"/>
      <w:r>
        <w:rPr>
          <w:rFonts w:hint="eastAsia" w:ascii="宋体" w:hAnsi="宋体"/>
          <w:b/>
          <w:bCs/>
          <w:sz w:val="24"/>
          <w:szCs w:val="28"/>
        </w:rPr>
        <w:t>。</w:t>
      </w:r>
    </w:p>
    <w:p>
      <w:pPr>
        <w:spacing w:line="440" w:lineRule="exact"/>
        <w:rPr>
          <w:rFonts w:ascii="宋体" w:hAnsi="宋体"/>
          <w:b/>
          <w:bCs/>
          <w:sz w:val="24"/>
          <w:szCs w:val="28"/>
        </w:rPr>
      </w:pPr>
      <w:r>
        <w:rPr>
          <w:rFonts w:hint="eastAsia" w:ascii="宋体" w:hAnsi="宋体"/>
          <w:b/>
          <w:bCs/>
          <w:sz w:val="24"/>
          <w:szCs w:val="28"/>
        </w:rPr>
        <w:t>2、确保本项目施实的关键，第一成交人必须无条件服从，否则业主方有权不与其签订合同并作废标处理。</w:t>
      </w:r>
    </w:p>
    <w:p>
      <w:pPr>
        <w:spacing w:line="440" w:lineRule="exact"/>
        <w:rPr>
          <w:rFonts w:ascii="宋体" w:hAnsi="宋体"/>
          <w:b/>
          <w:bCs/>
          <w:sz w:val="24"/>
          <w:szCs w:val="28"/>
        </w:rPr>
      </w:pPr>
      <w:r>
        <w:rPr>
          <w:rFonts w:hint="eastAsia" w:ascii="宋体" w:hAnsi="宋体"/>
          <w:b/>
          <w:bCs/>
          <w:sz w:val="24"/>
          <w:szCs w:val="28"/>
        </w:rPr>
        <w:t>3、如在核查中发现弄虚作假，以次充好，恶意骗标等情况的，业主方有权取消其中标资格，扣除谈判保证金并按相关规定记录在案。</w:t>
      </w:r>
    </w:p>
    <w:p>
      <w:pPr>
        <w:keepNext/>
        <w:keepLines/>
        <w:widowControl/>
        <w:spacing w:before="260" w:after="260" w:line="560" w:lineRule="exact"/>
        <w:ind w:left="280"/>
        <w:jc w:val="left"/>
        <w:outlineLvl w:val="1"/>
        <w:rPr>
          <w:rFonts w:ascii="Times New Roman" w:hAnsi="宋体" w:eastAsia="宋体" w:cs="Times New Roman"/>
          <w:kern w:val="0"/>
          <w:sz w:val="28"/>
          <w:szCs w:val="28"/>
        </w:rPr>
        <w:sectPr>
          <w:pgSz w:w="11906" w:h="16838"/>
          <w:pgMar w:top="1440" w:right="1440" w:bottom="1440" w:left="1440" w:header="851" w:footer="992" w:gutter="0"/>
          <w:cols w:space="425" w:num="1"/>
          <w:docGrid w:linePitch="579" w:charSpace="-1844"/>
        </w:sectPr>
      </w:pPr>
    </w:p>
    <w:p>
      <w:pPr>
        <w:autoSpaceDE w:val="0"/>
        <w:autoSpaceDN w:val="0"/>
        <w:adjustRightInd w:val="0"/>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三、招标产品清单说明</w:t>
      </w:r>
    </w:p>
    <w:p>
      <w:pPr>
        <w:autoSpaceDE w:val="0"/>
        <w:autoSpaceDN w:val="0"/>
        <w:spacing w:line="360" w:lineRule="auto"/>
        <w:ind w:firstLine="480" w:firstLineChars="200"/>
        <w:rPr>
          <w:rFonts w:cs="Times New Roman" w:asciiTheme="minorEastAsia" w:hAnsiTheme="minorEastAsia"/>
          <w:snapToGrid w:val="0"/>
          <w:kern w:val="0"/>
          <w:sz w:val="24"/>
          <w:szCs w:val="24"/>
          <w:u w:val="single"/>
          <w:lang w:val="zh-CN"/>
        </w:rPr>
      </w:pPr>
      <w:r>
        <w:rPr>
          <w:rFonts w:hint="eastAsia" w:cs="Times New Roman" w:asciiTheme="minorEastAsia" w:hAnsiTheme="minorEastAsia"/>
          <w:snapToGrid w:val="0"/>
          <w:kern w:val="0"/>
          <w:sz w:val="24"/>
          <w:szCs w:val="24"/>
          <w:lang w:val="zh-CN"/>
        </w:rPr>
        <w:t>1、项目名称：</w:t>
      </w:r>
      <w:r>
        <w:rPr>
          <w:rFonts w:hint="eastAsia"/>
          <w:u w:val="single"/>
        </w:rPr>
        <w:t>安徽省永丰粮食购销有限公司2.5万吨粮食仓储设施项目机械通风设备采购及安装工程</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cs="Times New Roman" w:asciiTheme="minorEastAsia" w:hAnsiTheme="minorEastAsia"/>
          <w:snapToGrid w:val="0"/>
          <w:kern w:val="0"/>
          <w:sz w:val="24"/>
          <w:szCs w:val="24"/>
          <w:lang w:val="zh-CN"/>
        </w:rPr>
        <w:t>2</w:t>
      </w:r>
      <w:r>
        <w:rPr>
          <w:rFonts w:hint="eastAsia" w:cs="Times New Roman" w:asciiTheme="minorEastAsia" w:hAnsiTheme="minorEastAsia"/>
          <w:snapToGrid w:val="0"/>
          <w:kern w:val="0"/>
          <w:sz w:val="24"/>
          <w:szCs w:val="24"/>
          <w:lang w:val="zh-CN"/>
        </w:rPr>
        <w:t>、供应商所投的产品总报价不得超过控制价，否则将导致废标。</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cs="Times New Roman" w:asciiTheme="minorEastAsia" w:hAnsiTheme="minorEastAsia"/>
          <w:snapToGrid w:val="0"/>
          <w:kern w:val="0"/>
          <w:sz w:val="24"/>
          <w:szCs w:val="24"/>
          <w:lang w:val="zh-CN"/>
        </w:rPr>
        <w:t>3</w:t>
      </w:r>
      <w:r>
        <w:rPr>
          <w:rFonts w:hint="eastAsia" w:cs="Times New Roman" w:asciiTheme="minorEastAsia" w:hAnsiTheme="minorEastAsia"/>
          <w:snapToGrid w:val="0"/>
          <w:kern w:val="0"/>
          <w:sz w:val="24"/>
          <w:szCs w:val="24"/>
          <w:lang w:val="zh-CN"/>
        </w:rPr>
        <w:t>、本技术规格和技术规范所列货物的技术、功能作为供应商参考，不存在指定品牌之含义。供应商所提供的货物在技术与功能等方面应等同于或高于上述技术、功能要求。本技术规格和技术规范提出的各项功能要求和技术指标是对本项目的最基本要求，并未对一切细节做出全部详细规定，也未充分引述有关标准和规范的条文，供应商所有与本项目有关的技术标准均应不低于报价时已颁布的国家和行业标准，或相应的国际标准的有关条文。使用最新的专利和保密专利需特别说明。</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注：以上技术规格和要求必须逐条响应，提供所投产品的具体参数值，不得简单复制谈判文件相关内容。若指标项存在正、负偏离的均应详细说明，如实填写技术偏离表。若评委会认定偏离程度过多影响采购人实际使用的,响应文件将会被拒绝；存在细微偏离，但评委认定不影响采购人实际使用功能和效果的，可视为响应。</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cs="Times New Roman" w:asciiTheme="minorEastAsia" w:hAnsiTheme="minorEastAsia"/>
          <w:snapToGrid w:val="0"/>
          <w:kern w:val="0"/>
          <w:sz w:val="24"/>
          <w:szCs w:val="24"/>
          <w:lang w:val="zh-CN"/>
        </w:rPr>
        <w:t>4</w:t>
      </w:r>
      <w:r>
        <w:rPr>
          <w:rFonts w:hint="eastAsia" w:cs="Times New Roman" w:asciiTheme="minorEastAsia" w:hAnsiTheme="minorEastAsia"/>
          <w:snapToGrid w:val="0"/>
          <w:kern w:val="0"/>
          <w:sz w:val="24"/>
          <w:szCs w:val="24"/>
          <w:lang w:val="zh-CN"/>
        </w:rPr>
        <w:t>、产品性能、技术指标未谈判文件要求提供检测报告的视为负偏离</w:t>
      </w:r>
    </w:p>
    <w:p>
      <w:pPr>
        <w:pStyle w:val="2"/>
        <w:ind w:left="1260"/>
        <w:rPr>
          <w:lang w:val="zh-CN"/>
        </w:rPr>
      </w:pPr>
    </w:p>
    <w:p>
      <w:pPr>
        <w:spacing w:line="360" w:lineRule="auto"/>
        <w:rPr>
          <w:rFonts w:ascii="黑体" w:hAnsi="黑体" w:eastAsia="黑体" w:cs="Times New Roman"/>
          <w:kern w:val="0"/>
          <w:sz w:val="32"/>
          <w:szCs w:val="32"/>
        </w:rPr>
      </w:pPr>
      <w:r>
        <w:rPr>
          <w:rFonts w:hint="eastAsia" w:ascii="黑体" w:hAnsi="黑体" w:eastAsia="黑体" w:cs="Times New Roman"/>
          <w:kern w:val="0"/>
          <w:sz w:val="32"/>
          <w:szCs w:val="32"/>
        </w:rPr>
        <w:t>四、</w:t>
      </w:r>
      <w:r>
        <w:rPr>
          <w:rFonts w:ascii="黑体" w:hAnsi="黑体" w:eastAsia="黑体" w:cs="Times New Roman"/>
          <w:kern w:val="0"/>
          <w:sz w:val="32"/>
          <w:szCs w:val="32"/>
        </w:rPr>
        <w:t>商务要求</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（一）交货时间、地点与方式</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交货时间：合同签订后20天内交付并安装完成</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交货地点与方式：交钥匙工程、池州市东至县昭潭镇永丰村。</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（二）售后服务</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1.质量保证期：自移交接收之日起1年。</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2.供应商对提供的货物在质保期内，因产品质量而导致的缺陷，必须免费提供包修、包换、包退服务。</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3.供应商须在“三包”范围内免费提供该货物的技术培训和技术支持。</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4.中标产品在质保期内出现非人为软硬件故障，中标方必须在3小时内到场进行维修，十二小时内维修完毕，如中标方为能及时提供售后服务，或一年内累计出现非人为故障超过5次以上，每次将扣除质保金5000元，扣完为止。</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（三）专利权和保密要求</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供应商应保证使用方在使用该货物或其任何一部分时，不受第三方侵权指控。同时，供应商不得向第三方泄露采购人提供的技术文件等资料。</w:t>
      </w:r>
    </w:p>
    <w:p>
      <w:pPr>
        <w:autoSpaceDE w:val="0"/>
        <w:autoSpaceDN w:val="0"/>
        <w:spacing w:line="360" w:lineRule="auto"/>
        <w:ind w:firstLine="482" w:firstLineChars="200"/>
        <w:rPr>
          <w:rFonts w:cs="Times New Roman" w:asciiTheme="minorEastAsia" w:hAnsiTheme="minorEastAsia"/>
          <w:b/>
          <w:snapToGrid w:val="0"/>
          <w:kern w:val="0"/>
          <w:sz w:val="24"/>
          <w:szCs w:val="24"/>
          <w:lang w:val="zh-CN"/>
        </w:rPr>
      </w:pPr>
      <w:r>
        <w:rPr>
          <w:rFonts w:hint="eastAsia" w:cs="Times New Roman" w:asciiTheme="minorEastAsia" w:hAnsiTheme="minorEastAsia"/>
          <w:b/>
          <w:snapToGrid w:val="0"/>
          <w:kern w:val="0"/>
          <w:sz w:val="24"/>
          <w:szCs w:val="24"/>
          <w:lang w:val="zh-CN"/>
        </w:rPr>
        <w:t>（四）现场勘查</w:t>
      </w:r>
    </w:p>
    <w:p>
      <w:pPr>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lang w:val="zh-CN"/>
        </w:rPr>
        <w:t>1.现场勘查时间：自行勘察</w:t>
      </w:r>
      <w:r>
        <w:rPr>
          <w:rFonts w:hint="eastAsia" w:cs="Times New Roman" w:asciiTheme="minorEastAsia" w:hAnsiTheme="minorEastAsia"/>
          <w:kern w:val="0"/>
          <w:sz w:val="24"/>
          <w:szCs w:val="24"/>
        </w:rPr>
        <w:t>，联系人：徐先生 ，</w:t>
      </w:r>
      <w:r>
        <w:rPr>
          <w:rFonts w:cs="Times New Roman" w:asciiTheme="minorEastAsia" w:hAnsiTheme="minorEastAsia"/>
          <w:kern w:val="0"/>
          <w:sz w:val="24"/>
          <w:szCs w:val="24"/>
        </w:rPr>
        <w:t>13856628628</w:t>
      </w:r>
    </w:p>
    <w:p>
      <w:pPr>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2.地点：</w:t>
      </w:r>
      <w:r>
        <w:rPr>
          <w:rFonts w:hint="eastAsia" w:cs="Times New Roman" w:asciiTheme="minorEastAsia" w:hAnsiTheme="minorEastAsia"/>
          <w:snapToGrid w:val="0"/>
          <w:kern w:val="0"/>
          <w:sz w:val="24"/>
          <w:szCs w:val="24"/>
          <w:lang w:val="zh-CN"/>
        </w:rPr>
        <w:t>池州市东至县昭潭镇永丰村</w:t>
      </w:r>
    </w:p>
    <w:p>
      <w:pPr>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3.因疫情期间防控要求，请有现场勘查意向的供应商于10月29日11时前电话联系。</w:t>
      </w:r>
    </w:p>
    <w:p>
      <w:pPr>
        <w:spacing w:line="360" w:lineRule="auto"/>
        <w:rPr>
          <w:rFonts w:ascii="黑体" w:hAnsi="黑体" w:eastAsia="黑体" w:cs="Times New Roman"/>
          <w:kern w:val="0"/>
          <w:sz w:val="32"/>
          <w:szCs w:val="32"/>
        </w:rPr>
      </w:pPr>
      <w:r>
        <w:rPr>
          <w:rFonts w:hint="eastAsia" w:ascii="黑体" w:hAnsi="黑体" w:eastAsia="黑体" w:cs="Times New Roman"/>
          <w:kern w:val="0"/>
          <w:sz w:val="32"/>
          <w:szCs w:val="32"/>
        </w:rPr>
        <w:t>五、报价说明：</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1、本报价为最终报价。报价的人民币总价格为项目最终不变价，除非买方调整采购项目和数量。</w:t>
      </w:r>
      <w:r>
        <w:rPr>
          <w:rFonts w:hint="eastAsia" w:cs="Times New Roman" w:asciiTheme="minorEastAsia" w:hAnsiTheme="minorEastAsia"/>
          <w:b/>
          <w:snapToGrid w:val="0"/>
          <w:kern w:val="0"/>
          <w:sz w:val="24"/>
          <w:szCs w:val="24"/>
          <w:u w:val="single"/>
          <w:lang w:val="zh-CN"/>
        </w:rPr>
        <w:t>报价应包含货物设计、制造、包装、仓储、运输装缷、保险、安装、调试、验收及验收合格之前保管和保修期内备品备件、专用工具、伴随服务、技术图纸资料及发生的所有含税费用、支付给员工的工资和国家强制缴纳的各种社会保障资金等</w:t>
      </w:r>
      <w:r>
        <w:rPr>
          <w:rFonts w:hint="eastAsia" w:cs="Times New Roman" w:asciiTheme="minorEastAsia" w:hAnsiTheme="minorEastAsia"/>
          <w:snapToGrid w:val="0"/>
          <w:kern w:val="0"/>
          <w:sz w:val="24"/>
          <w:szCs w:val="24"/>
          <w:lang w:val="zh-CN"/>
        </w:rPr>
        <w:t>。</w:t>
      </w:r>
      <w:r>
        <w:rPr>
          <w:rFonts w:hint="eastAsia" w:cs="Times New Roman" w:asciiTheme="minorEastAsia" w:hAnsiTheme="minorEastAsia"/>
          <w:b/>
          <w:snapToGrid w:val="0"/>
          <w:kern w:val="0"/>
          <w:sz w:val="24"/>
          <w:szCs w:val="24"/>
          <w:u w:val="single"/>
          <w:lang w:val="zh-CN"/>
        </w:rPr>
        <w:t>含本次招标代理服务费（费用综合在投标设备仪器单价内，由成交人承担，按照中标价的0,98%）</w:t>
      </w:r>
      <w:r>
        <w:rPr>
          <w:rFonts w:hint="eastAsia" w:cs="Times New Roman" w:asciiTheme="minorEastAsia" w:hAnsiTheme="minorEastAsia"/>
          <w:snapToGrid w:val="0"/>
          <w:kern w:val="0"/>
          <w:sz w:val="24"/>
          <w:szCs w:val="24"/>
          <w:lang w:val="zh-CN"/>
        </w:rPr>
        <w:t>在验收过程中，如发现有漏项、缺件，卖方应无条件、无偿补齐，所发生的一切费用，视为已包含在卖方的最终投标报价中。</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2、运输方式及费用承担（含保险）：运杂费及运输保险费包含在投标总价中，由成交人承担。</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sectPr>
          <w:pgSz w:w="11906" w:h="16838"/>
          <w:pgMar w:top="1440" w:right="1440" w:bottom="1440" w:left="1440" w:header="851" w:footer="992" w:gutter="0"/>
          <w:cols w:space="425" w:num="1"/>
          <w:docGrid w:linePitch="579" w:charSpace="-1844"/>
        </w:sectPr>
      </w:pPr>
      <w:r>
        <w:rPr>
          <w:rFonts w:hint="eastAsia" w:cs="Times New Roman" w:asciiTheme="minorEastAsia" w:hAnsiTheme="minorEastAsia"/>
          <w:snapToGrid w:val="0"/>
          <w:kern w:val="0"/>
          <w:sz w:val="24"/>
          <w:szCs w:val="24"/>
          <w:lang w:val="zh-CN"/>
        </w:rPr>
        <w:t>3、包装要求及费用承担：按供应商的标准包装，但应考虑到防漏、防潮、防震、防盗和可能会发生的野蛮装卸等内陆运输及多次装卸之需要。费用包含在投标最终报价价中，由成交人承担。</w:t>
      </w:r>
    </w:p>
    <w:p>
      <w:pPr>
        <w:pStyle w:val="3"/>
        <w:spacing w:before="0" w:after="0" w:line="360" w:lineRule="auto"/>
        <w:jc w:val="center"/>
        <w:rPr>
          <w:sz w:val="36"/>
          <w:szCs w:val="36"/>
        </w:rPr>
      </w:pPr>
      <w:bookmarkStart w:id="12" w:name="_Toc390713968"/>
      <w:bookmarkStart w:id="13" w:name="_Toc285612601"/>
      <w:bookmarkStart w:id="14" w:name="_Toc435540980"/>
      <w:bookmarkStart w:id="15" w:name="_Toc240432230"/>
      <w:r>
        <w:rPr>
          <w:rFonts w:hint="eastAsia"/>
          <w:sz w:val="36"/>
          <w:szCs w:val="36"/>
        </w:rPr>
        <w:t>第三部分 供应商须知</w:t>
      </w:r>
      <w:bookmarkEnd w:id="12"/>
      <w:bookmarkEnd w:id="13"/>
      <w:bookmarkEnd w:id="14"/>
      <w:bookmarkEnd w:id="15"/>
    </w:p>
    <w:p>
      <w:pPr>
        <w:jc w:val="center"/>
        <w:rPr>
          <w:rFonts w:cs="Times New Roman" w:asciiTheme="minorEastAsia" w:hAnsiTheme="minorEastAsia"/>
          <w:b/>
          <w:kern w:val="0"/>
          <w:sz w:val="28"/>
          <w:szCs w:val="28"/>
        </w:rPr>
      </w:pPr>
      <w:r>
        <w:rPr>
          <w:rFonts w:hint="eastAsia" w:cs="Times New Roman" w:asciiTheme="minorEastAsia" w:hAnsiTheme="minorEastAsia"/>
          <w:b/>
          <w:kern w:val="0"/>
          <w:sz w:val="28"/>
          <w:szCs w:val="28"/>
        </w:rPr>
        <w:t>一、</w:t>
      </w:r>
      <w:r>
        <w:rPr>
          <w:rFonts w:cs="Times New Roman" w:asciiTheme="minorEastAsia" w:hAnsiTheme="minorEastAsia"/>
          <w:b/>
          <w:kern w:val="0"/>
          <w:sz w:val="28"/>
          <w:szCs w:val="28"/>
        </w:rPr>
        <w:t>说明</w:t>
      </w:r>
    </w:p>
    <w:p>
      <w:pPr>
        <w:spacing w:line="360" w:lineRule="auto"/>
        <w:ind w:firstLine="482" w:firstLineChars="200"/>
        <w:rPr>
          <w:rFonts w:cs="Times New Roman" w:asciiTheme="minorEastAsia" w:hAnsiTheme="minorEastAsia"/>
          <w:b/>
          <w:snapToGrid w:val="0"/>
          <w:kern w:val="0"/>
          <w:sz w:val="24"/>
          <w:szCs w:val="24"/>
        </w:rPr>
      </w:pPr>
      <w:r>
        <w:rPr>
          <w:rFonts w:hint="eastAsia" w:cs="Times New Roman" w:asciiTheme="minorEastAsia" w:hAnsiTheme="minorEastAsia"/>
          <w:b/>
          <w:snapToGrid w:val="0"/>
          <w:kern w:val="0"/>
          <w:sz w:val="24"/>
          <w:szCs w:val="24"/>
        </w:rPr>
        <w:t>（一）概述</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rPr>
        <w:t>1.</w:t>
      </w:r>
      <w:r>
        <w:rPr>
          <w:rFonts w:hint="eastAsia" w:cs="Times New Roman" w:asciiTheme="minorEastAsia" w:hAnsiTheme="minorEastAsia"/>
          <w:snapToGrid w:val="0"/>
          <w:kern w:val="0"/>
          <w:sz w:val="24"/>
          <w:szCs w:val="24"/>
          <w:lang w:val="zh-CN"/>
        </w:rPr>
        <w:t>本谈判文件仅适用于《竞争性谈判公告》中所述的采购项目；</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rPr>
        <w:t>2.</w:t>
      </w:r>
      <w:r>
        <w:rPr>
          <w:rFonts w:hint="eastAsia" w:asciiTheme="minorEastAsia" w:hAnsiTheme="minorEastAsia"/>
          <w:snapToGrid w:val="0"/>
          <w:sz w:val="24"/>
          <w:szCs w:val="24"/>
        </w:rPr>
        <w:t>参与本次谈判的所有各方，对在参与过程中获悉的国家商业、技术秘密以及其它依法应当保密的内容，均负有保密义务，违者应对由此造成的后果承担全部法律责任。</w:t>
      </w:r>
    </w:p>
    <w:p>
      <w:pPr>
        <w:autoSpaceDE w:val="0"/>
        <w:autoSpaceDN w:val="0"/>
        <w:spacing w:line="360" w:lineRule="auto"/>
        <w:ind w:firstLine="482" w:firstLineChars="200"/>
        <w:rPr>
          <w:rFonts w:cs="Times New Roman" w:asciiTheme="minorEastAsia" w:hAnsiTheme="minorEastAsia"/>
          <w:b/>
          <w:snapToGrid w:val="0"/>
          <w:kern w:val="0"/>
          <w:sz w:val="24"/>
          <w:szCs w:val="24"/>
          <w:lang w:val="zh-CN"/>
        </w:rPr>
      </w:pPr>
      <w:r>
        <w:rPr>
          <w:rFonts w:hint="eastAsia" w:cs="Times New Roman" w:asciiTheme="minorEastAsia" w:hAnsiTheme="minorEastAsia"/>
          <w:b/>
          <w:snapToGrid w:val="0"/>
          <w:kern w:val="0"/>
          <w:sz w:val="24"/>
          <w:szCs w:val="24"/>
          <w:lang w:val="zh-CN"/>
        </w:rPr>
        <w:t>（二）定义</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1.“采购项目”系指本谈判文件描述的所需采购的货物和相关服务；</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2.“采购人”系指</w:t>
      </w:r>
      <w:r>
        <w:rPr>
          <w:rFonts w:hint="eastAsia" w:cs="Times New Roman" w:asciiTheme="minorEastAsia" w:hAnsiTheme="minorEastAsia"/>
          <w:snapToGrid w:val="0"/>
          <w:kern w:val="0"/>
          <w:sz w:val="24"/>
          <w:szCs w:val="24"/>
          <w:u w:val="single"/>
          <w:lang w:val="zh-CN"/>
        </w:rPr>
        <w:t>安徽省永丰粮食购销有限公司</w:t>
      </w:r>
      <w:r>
        <w:rPr>
          <w:rFonts w:hint="eastAsia" w:cs="Times New Roman" w:asciiTheme="minorEastAsia" w:hAnsiTheme="minorEastAsia"/>
          <w:snapToGrid w:val="0"/>
          <w:kern w:val="0"/>
          <w:sz w:val="24"/>
          <w:szCs w:val="24"/>
          <w:lang w:val="zh-CN"/>
        </w:rPr>
        <w:t>；“采购代理机构”系指组织本次招标的</w:t>
      </w:r>
      <w:r>
        <w:rPr>
          <w:rFonts w:hint="eastAsia" w:cs="Times New Roman" w:asciiTheme="minorEastAsia" w:hAnsiTheme="minorEastAsia"/>
          <w:snapToGrid w:val="0"/>
          <w:kern w:val="0"/>
          <w:sz w:val="24"/>
          <w:szCs w:val="24"/>
          <w:u w:val="single"/>
          <w:lang w:val="zh-CN"/>
        </w:rPr>
        <w:t>合肥容公工程咨询有限公司</w:t>
      </w:r>
      <w:r>
        <w:rPr>
          <w:rFonts w:hint="eastAsia" w:cs="Times New Roman" w:asciiTheme="minorEastAsia" w:hAnsiTheme="minorEastAsia"/>
          <w:snapToGrid w:val="0"/>
          <w:kern w:val="0"/>
          <w:sz w:val="24"/>
          <w:szCs w:val="24"/>
          <w:lang w:val="zh-CN"/>
        </w:rPr>
        <w:t>；</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3.“供应商”系指从采购人按规定获取谈判文件，并提交响应文件的供应商；</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4.“成交人”系指经过招标评审，授予合同的供应商；</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5.“货物”系指成交人按谈判文件规定，所提供的各种形态和种类的物品，包括设备、产品、备品备件、工具、手册等；</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6.“服务”系指成交人按谈判文件规定，必须承担的运输、安装、调试、技术协助、培训、维修、配件供应等义务。</w:t>
      </w:r>
    </w:p>
    <w:p>
      <w:pPr>
        <w:autoSpaceDE w:val="0"/>
        <w:autoSpaceDN w:val="0"/>
        <w:spacing w:line="360" w:lineRule="auto"/>
        <w:ind w:firstLine="482" w:firstLineChars="200"/>
        <w:rPr>
          <w:rFonts w:cs="Times New Roman" w:asciiTheme="minorEastAsia" w:hAnsiTheme="minorEastAsia"/>
          <w:b/>
          <w:snapToGrid w:val="0"/>
          <w:kern w:val="0"/>
          <w:sz w:val="24"/>
          <w:szCs w:val="24"/>
          <w:lang w:val="zh-CN"/>
        </w:rPr>
      </w:pPr>
      <w:r>
        <w:rPr>
          <w:rFonts w:hint="eastAsia" w:cs="Times New Roman" w:asciiTheme="minorEastAsia" w:hAnsiTheme="minorEastAsia"/>
          <w:b/>
          <w:snapToGrid w:val="0"/>
          <w:kern w:val="0"/>
          <w:sz w:val="24"/>
          <w:szCs w:val="24"/>
          <w:lang w:val="zh-CN"/>
        </w:rPr>
        <w:t>（三）合格的供应商</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1.能够遵守国家的有关法律、法规和本次招标的有关规定；</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2.符合《竞争性谈判公告》所述供应商的资格要求和特定资格条件；</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3.能够承担投标及履约中应承担的全部责任与义务。</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（四）合格的货物和相关服务</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 xml:space="preserve">1.供应商对所提供的货物应当享有合法的所有权，没有侵犯任何第三方的知识产权、技术秘密等权利，而且不存在任何抵押、留置、查封等产权瑕疵； </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2.供应商提供的货物必须是全新的、未使用过的，货物和相关服务应当符合谈判文件要求。</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（五）投标委托</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如供应商代表不是法定代表人，须持有《法定代表人授权书》（</w:t>
      </w:r>
      <w:r>
        <w:rPr>
          <w:rFonts w:hint="eastAsia" w:cs="Times New Roman" w:asciiTheme="minorEastAsia" w:hAnsiTheme="minorEastAsia"/>
          <w:kern w:val="0"/>
          <w:sz w:val="24"/>
          <w:szCs w:val="24"/>
          <w:lang w:val="zh-CN"/>
        </w:rPr>
        <w:t>附件18</w:t>
      </w:r>
      <w:r>
        <w:rPr>
          <w:rFonts w:hint="eastAsia" w:cs="Times New Roman" w:asciiTheme="minorEastAsia" w:hAnsiTheme="minorEastAsia"/>
          <w:snapToGrid w:val="0"/>
          <w:kern w:val="0"/>
          <w:sz w:val="24"/>
          <w:szCs w:val="24"/>
          <w:lang w:val="zh-CN"/>
        </w:rPr>
        <w:t>）。</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（六）付款及结算方式</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付款方式：本项目无预付款，中标方安装调试完毕后，由需求方组织验收，验收合格后付货款90%，10%作为质保金，一年后支付。</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（七）投标费用</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不论投标结果如何，供应商均应自行承担与投标有关的全部费用。</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（八）信息发布</w:t>
      </w:r>
    </w:p>
    <w:p>
      <w:pPr>
        <w:autoSpaceDE w:val="0"/>
        <w:autoSpaceDN w:val="0"/>
        <w:spacing w:line="360" w:lineRule="auto"/>
        <w:ind w:firstLine="480"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本采购项目需要公开的有关信息， “</w:t>
      </w:r>
      <w:r>
        <w:rPr>
          <w:rFonts w:hint="eastAsia" w:cs="Times New Roman" w:asciiTheme="minorEastAsia" w:hAnsiTheme="minorEastAsia"/>
          <w:kern w:val="0"/>
          <w:sz w:val="24"/>
          <w:szCs w:val="24"/>
        </w:rPr>
        <w:t>安徽省旅游集团官网</w:t>
      </w:r>
      <w:r>
        <w:rPr>
          <w:rFonts w:hint="eastAsia" w:cs="Times New Roman" w:asciiTheme="minorEastAsia" w:hAnsiTheme="minorEastAsia"/>
          <w:snapToGrid w:val="0"/>
          <w:kern w:val="0"/>
          <w:sz w:val="24"/>
          <w:szCs w:val="24"/>
          <w:lang w:val="zh-CN"/>
        </w:rPr>
        <w:t>”公开发布。供应商在参与本采购项目招投标活动期间，请及时关注以上媒体上的相关信息，供应商因没有及时关注而未能如期获取相关信息，将会增加投标风险，采购人对此不承担任何责任。</w:t>
      </w:r>
    </w:p>
    <w:p>
      <w:pPr>
        <w:spacing w:line="360" w:lineRule="auto"/>
        <w:rPr>
          <w:rFonts w:cs="Times New Roman" w:asciiTheme="minorEastAsia" w:hAnsiTheme="minorEastAsia"/>
          <w:kern w:val="0"/>
          <w:sz w:val="24"/>
          <w:szCs w:val="24"/>
        </w:rPr>
      </w:pPr>
    </w:p>
    <w:p>
      <w:pPr>
        <w:spacing w:line="360" w:lineRule="auto"/>
        <w:rPr>
          <w:rFonts w:cs="Times New Roman" w:asciiTheme="minorEastAsia" w:hAnsiTheme="minorEastAsia"/>
          <w:b/>
          <w:kern w:val="0"/>
          <w:sz w:val="28"/>
          <w:szCs w:val="28"/>
        </w:rPr>
      </w:pPr>
      <w:r>
        <w:rPr>
          <w:rFonts w:hint="eastAsia" w:cs="Times New Roman" w:asciiTheme="minorEastAsia" w:hAnsiTheme="minorEastAsia"/>
          <w:kern w:val="0"/>
          <w:sz w:val="24"/>
          <w:szCs w:val="24"/>
        </w:rPr>
        <w:br w:type="page"/>
      </w:r>
      <w:r>
        <w:rPr>
          <w:rFonts w:hint="eastAsia" w:cs="Times New Roman" w:asciiTheme="minorEastAsia" w:hAnsiTheme="minorEastAsia"/>
          <w:b/>
          <w:kern w:val="0"/>
          <w:sz w:val="28"/>
          <w:szCs w:val="28"/>
        </w:rPr>
        <w:t>二、谈判</w:t>
      </w:r>
      <w:r>
        <w:rPr>
          <w:rFonts w:cs="Times New Roman" w:asciiTheme="minorEastAsia" w:hAnsiTheme="minorEastAsia"/>
          <w:b/>
          <w:kern w:val="0"/>
          <w:sz w:val="28"/>
          <w:szCs w:val="28"/>
        </w:rPr>
        <w:t>文件</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（一）谈判文件的内容</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谈判文件由采购公告、采购项目技术和商务要求、供应商须知、合同样本、附件/响应文件格式等内容构成。</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谈判文件以中文编写。纸质谈判文件与电子版谈判文件具有同等法律效力，两者出现不一致时，以纸质谈判文件为准。</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（二）谈判文件的澄清</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供应商对谈判文件如有疑问要求澄清，应当在投标截止时间3日前以书面形式通知采购人，采购人应当视情以适当方式予以澄清，或以书面形式答复。如有必要，在不标明问题查询来源情况下，采购人可将答复内容以书面形式通知所有供应商。</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（三）谈判文件的修改</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1.投标截止时间前，采购人可对已发出的谈判文件进行修改。谈判文件修改内容是谈判文件的组成部分。</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2.谈判文件修改内容可能影响响应文件编制的，采购人将在投标截止时间至少15日前，以书面形式通知所有供应商，并对供应商具有约束力。供应商在收到上述通知后，应立即以书面形式向采购人确认。</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3.为使供应商有足够时间修改响应文件，采购人可酌情推迟谈判截止时间和谈判时间。需要推迟的，采购人将在谈判截止时间3日前以书面形式通知所有供应商。</w:t>
      </w:r>
    </w:p>
    <w:p>
      <w:pPr>
        <w:spacing w:line="360" w:lineRule="auto"/>
        <w:jc w:val="center"/>
        <w:rPr>
          <w:rFonts w:cs="Times New Roman" w:asciiTheme="minorEastAsia" w:hAnsiTheme="minorEastAsia"/>
          <w:b/>
          <w:kern w:val="0"/>
          <w:sz w:val="28"/>
          <w:szCs w:val="28"/>
        </w:rPr>
      </w:pPr>
    </w:p>
    <w:p>
      <w:pPr>
        <w:spacing w:line="360" w:lineRule="auto"/>
        <w:jc w:val="center"/>
        <w:rPr>
          <w:rFonts w:cs="Times New Roman" w:asciiTheme="minorEastAsia" w:hAnsiTheme="minorEastAsia"/>
          <w:b/>
          <w:kern w:val="0"/>
          <w:sz w:val="28"/>
          <w:szCs w:val="28"/>
        </w:rPr>
      </w:pPr>
      <w:r>
        <w:rPr>
          <w:rFonts w:hint="eastAsia" w:cs="Times New Roman" w:asciiTheme="minorEastAsia" w:hAnsiTheme="minorEastAsia"/>
          <w:b/>
          <w:kern w:val="0"/>
          <w:sz w:val="28"/>
          <w:szCs w:val="28"/>
        </w:rPr>
        <w:t>三、响应文件</w:t>
      </w:r>
      <w:r>
        <w:rPr>
          <w:rFonts w:cs="Times New Roman" w:asciiTheme="minorEastAsia" w:hAnsiTheme="minorEastAsia"/>
          <w:b/>
          <w:kern w:val="0"/>
          <w:sz w:val="28"/>
          <w:szCs w:val="28"/>
        </w:rPr>
        <w:t>编制</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（一）注意事项</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供应商应仔细阅读谈判文件，在完全了解全部内容后，依法真实编制响应文件。如果没有按照谈判文件要求提交全部响应文件或者资料，没有对谈判文件实质性响应，可能导致投标无效。</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（二）响应文件的语言及计量单位</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1.响应文件和来往信函均以中文书写。确有需要时，相关内容可以使用其他语言书写，但必须同时提供中文译文，不同语言文本响应文件的解释发生异议的，以中文译文为准。</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2.响应文件中所使用的计量单位，除响应文件中有特殊要求外，均采用国家法定计量单位。</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（三）响应文件组成（包括3部分：价格文件、投标书、资格证明文件）</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1.价格文件包括：</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（1）开标一览表</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2</w:t>
      </w:r>
      <w:r>
        <w:rPr>
          <w:rFonts w:hint="eastAsia" w:cs="Times New Roman" w:asciiTheme="minorEastAsia" w:hAnsiTheme="minorEastAsia"/>
          <w:snapToGrid w:val="0"/>
          <w:kern w:val="0"/>
          <w:sz w:val="24"/>
          <w:szCs w:val="24"/>
        </w:rPr>
        <w:t>）价格构成表</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3</w:t>
      </w:r>
      <w:r>
        <w:rPr>
          <w:rFonts w:hint="eastAsia" w:cs="Times New Roman" w:asciiTheme="minorEastAsia" w:hAnsiTheme="minorEastAsia"/>
          <w:snapToGrid w:val="0"/>
          <w:kern w:val="0"/>
          <w:sz w:val="24"/>
          <w:szCs w:val="24"/>
        </w:rPr>
        <w:t>）货物材料、部件、工具价格明细表</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2.投标书包括：</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1</w:t>
      </w:r>
      <w:r>
        <w:rPr>
          <w:rFonts w:hint="eastAsia" w:cs="Times New Roman" w:asciiTheme="minorEastAsia" w:hAnsiTheme="minorEastAsia"/>
          <w:snapToGrid w:val="0"/>
          <w:kern w:val="0"/>
          <w:sz w:val="24"/>
          <w:szCs w:val="24"/>
        </w:rPr>
        <w:t>）投标函</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2</w:t>
      </w:r>
      <w:r>
        <w:rPr>
          <w:rFonts w:hint="eastAsia" w:cs="Times New Roman" w:asciiTheme="minorEastAsia" w:hAnsiTheme="minorEastAsia"/>
          <w:snapToGrid w:val="0"/>
          <w:kern w:val="0"/>
          <w:sz w:val="24"/>
          <w:szCs w:val="24"/>
        </w:rPr>
        <w:t>）货物简要说明一览表</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3</w:t>
      </w:r>
      <w:r>
        <w:rPr>
          <w:rFonts w:hint="eastAsia" w:cs="Times New Roman" w:asciiTheme="minorEastAsia" w:hAnsiTheme="minorEastAsia"/>
          <w:snapToGrid w:val="0"/>
          <w:kern w:val="0"/>
          <w:sz w:val="24"/>
          <w:szCs w:val="24"/>
        </w:rPr>
        <w:t>）主要技术性能参数表</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4</w:t>
      </w:r>
      <w:r>
        <w:rPr>
          <w:rFonts w:hint="eastAsia" w:cs="Times New Roman" w:asciiTheme="minorEastAsia" w:hAnsiTheme="minorEastAsia"/>
          <w:snapToGrid w:val="0"/>
          <w:kern w:val="0"/>
          <w:sz w:val="24"/>
          <w:szCs w:val="24"/>
        </w:rPr>
        <w:t>）技术指标参数响应偏离表</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5</w:t>
      </w:r>
      <w:r>
        <w:rPr>
          <w:rFonts w:hint="eastAsia" w:cs="Times New Roman" w:asciiTheme="minorEastAsia" w:hAnsiTheme="minorEastAsia"/>
          <w:snapToGrid w:val="0"/>
          <w:kern w:val="0"/>
          <w:sz w:val="24"/>
          <w:szCs w:val="24"/>
        </w:rPr>
        <w:t>）主要商务条款响应偏离表</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6</w:t>
      </w:r>
      <w:r>
        <w:rPr>
          <w:rFonts w:hint="eastAsia" w:cs="Times New Roman" w:asciiTheme="minorEastAsia" w:hAnsiTheme="minorEastAsia"/>
          <w:snapToGrid w:val="0"/>
          <w:kern w:val="0"/>
          <w:sz w:val="24"/>
          <w:szCs w:val="24"/>
        </w:rPr>
        <w:t>）交货清单</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7</w:t>
      </w:r>
      <w:r>
        <w:rPr>
          <w:rFonts w:hint="eastAsia" w:cs="Times New Roman" w:asciiTheme="minorEastAsia" w:hAnsiTheme="minorEastAsia"/>
          <w:snapToGrid w:val="0"/>
          <w:kern w:val="0"/>
          <w:sz w:val="24"/>
          <w:szCs w:val="24"/>
        </w:rPr>
        <w:t>）谈判保证金</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8</w:t>
      </w:r>
      <w:r>
        <w:rPr>
          <w:rFonts w:hint="eastAsia" w:cs="Times New Roman" w:asciiTheme="minorEastAsia" w:hAnsiTheme="minorEastAsia"/>
          <w:snapToGrid w:val="0"/>
          <w:kern w:val="0"/>
          <w:sz w:val="24"/>
          <w:szCs w:val="24"/>
        </w:rPr>
        <w:t>）整体实施计划及施工方案</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9</w:t>
      </w:r>
      <w:r>
        <w:rPr>
          <w:rFonts w:hint="eastAsia" w:cs="Times New Roman" w:asciiTheme="minorEastAsia" w:hAnsiTheme="minorEastAsia"/>
          <w:snapToGrid w:val="0"/>
          <w:kern w:val="0"/>
          <w:sz w:val="24"/>
          <w:szCs w:val="24"/>
        </w:rPr>
        <w:t>）售后服务及承诺</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10</w:t>
      </w:r>
      <w:r>
        <w:rPr>
          <w:rFonts w:hint="eastAsia" w:cs="Times New Roman" w:asciiTheme="minorEastAsia" w:hAnsiTheme="minorEastAsia"/>
          <w:snapToGrid w:val="0"/>
          <w:kern w:val="0"/>
          <w:sz w:val="24"/>
          <w:szCs w:val="24"/>
        </w:rPr>
        <w:t>）保密承诺书</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11</w:t>
      </w:r>
      <w:r>
        <w:rPr>
          <w:rFonts w:hint="eastAsia" w:cs="Times New Roman" w:asciiTheme="minorEastAsia" w:hAnsiTheme="minorEastAsia"/>
          <w:snapToGrid w:val="0"/>
          <w:kern w:val="0"/>
          <w:sz w:val="24"/>
          <w:szCs w:val="24"/>
        </w:rPr>
        <w:t>）近3年中标成交案例及同类项目案例</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12</w:t>
      </w:r>
      <w:r>
        <w:rPr>
          <w:rFonts w:hint="eastAsia" w:cs="Times New Roman" w:asciiTheme="minorEastAsia" w:hAnsiTheme="minorEastAsia"/>
          <w:snapToGrid w:val="0"/>
          <w:kern w:val="0"/>
          <w:sz w:val="24"/>
          <w:szCs w:val="24"/>
        </w:rPr>
        <w:t>）法定代表人资格证明书</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13</w:t>
      </w:r>
      <w:r>
        <w:rPr>
          <w:rFonts w:hint="eastAsia" w:cs="Times New Roman" w:asciiTheme="minorEastAsia" w:hAnsiTheme="minorEastAsia"/>
          <w:snapToGrid w:val="0"/>
          <w:kern w:val="0"/>
          <w:sz w:val="24"/>
          <w:szCs w:val="24"/>
        </w:rPr>
        <w:t>）法定代表人授权书</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14</w:t>
      </w:r>
      <w:r>
        <w:rPr>
          <w:rFonts w:hint="eastAsia" w:cs="Times New Roman" w:asciiTheme="minorEastAsia" w:hAnsiTheme="minorEastAsia"/>
          <w:snapToGrid w:val="0"/>
          <w:kern w:val="0"/>
          <w:sz w:val="24"/>
          <w:szCs w:val="24"/>
        </w:rPr>
        <w:t>）技术评审表</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w:t>
      </w:r>
      <w:r>
        <w:rPr>
          <w:rFonts w:cs="Times New Roman" w:asciiTheme="minorEastAsia" w:hAnsiTheme="minorEastAsia"/>
          <w:snapToGrid w:val="0"/>
          <w:kern w:val="0"/>
          <w:sz w:val="24"/>
          <w:szCs w:val="24"/>
        </w:rPr>
        <w:t>15</w:t>
      </w:r>
      <w:r>
        <w:rPr>
          <w:rFonts w:hint="eastAsia" w:cs="Times New Roman" w:asciiTheme="minorEastAsia" w:hAnsiTheme="minorEastAsia"/>
          <w:snapToGrid w:val="0"/>
          <w:kern w:val="0"/>
          <w:sz w:val="24"/>
          <w:szCs w:val="24"/>
        </w:rPr>
        <w:t>）商务评审表</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6</w:t>
      </w:r>
      <w:r>
        <w:rPr>
          <w:rFonts w:hint="eastAsia" w:cs="Times New Roman" w:asciiTheme="minorEastAsia" w:hAnsiTheme="minorEastAsia"/>
          <w:kern w:val="0"/>
          <w:sz w:val="24"/>
          <w:szCs w:val="24"/>
        </w:rPr>
        <w:t>）供应商认为需要加以说明的其他内容</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3.资格证明文件包括（除必须要求原件外，其他资料原件和复印件均可）：</w:t>
      </w:r>
    </w:p>
    <w:p>
      <w:pPr>
        <w:spacing w:line="360" w:lineRule="auto"/>
        <w:ind w:firstLine="484" w:firstLineChars="202"/>
        <w:rPr>
          <w:rFonts w:ascii="宋体" w:hAnsi="宋体"/>
          <w:bCs/>
          <w:sz w:val="24"/>
          <w:szCs w:val="32"/>
        </w:rPr>
      </w:pPr>
      <w:r>
        <w:rPr>
          <w:rFonts w:hint="eastAsia" w:cs="Times New Roman" w:asciiTheme="minorEastAsia" w:hAnsiTheme="minorEastAsia"/>
          <w:kern w:val="0"/>
          <w:sz w:val="24"/>
          <w:szCs w:val="24"/>
        </w:rPr>
        <w:t>（1）.具有独立承担民事责任的能力；</w:t>
      </w:r>
      <w:r>
        <w:rPr>
          <w:rFonts w:hint="eastAsia" w:ascii="宋体" w:hAnsi="宋体"/>
          <w:bCs/>
          <w:sz w:val="24"/>
          <w:szCs w:val="32"/>
        </w:rPr>
        <w:t>（提供法人或者其他组织的营业执照等证明文件，自然人的身份证明）</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（2）.具有良好的商业信誉和健全的财务会计制度；（提供参加本次政府采购活动前的会计报表至少包含资产负债表、利润表、资金流量表所有者权益变动表及附注）</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（3）.具有履行合同所必需的设备和专业技术能力；（提供</w:t>
      </w:r>
      <w:r>
        <w:rPr>
          <w:rFonts w:cs="Times New Roman" w:asciiTheme="minorEastAsia" w:hAnsiTheme="minorEastAsia"/>
          <w:kern w:val="0"/>
          <w:sz w:val="24"/>
          <w:szCs w:val="24"/>
        </w:rPr>
        <w:t>承诺书</w:t>
      </w:r>
      <w:r>
        <w:rPr>
          <w:rFonts w:hint="eastAsia"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（4）.有依法缴纳税收和社会保障资金的良好记录；（提供参加本次政府采购活动前三个月内（至少一个月）依法缴纳税收和社会保障资金的相关材料）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（5）.参加政府采购活动前3年内，在经营活动中没有重大违法记录；（提供参加政府采购活动前3年内在经营活动中没有重大违法记录的书面声明）</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（6）.法律、行政法规规定的其他条件。（提供</w:t>
      </w:r>
      <w:r>
        <w:rPr>
          <w:rFonts w:cs="Times New Roman" w:asciiTheme="minorEastAsia" w:hAnsiTheme="minorEastAsia"/>
          <w:kern w:val="0"/>
          <w:sz w:val="24"/>
          <w:szCs w:val="24"/>
        </w:rPr>
        <w:t>承诺书</w:t>
      </w:r>
      <w:r>
        <w:rPr>
          <w:rFonts w:hint="eastAsia" w:cs="Times New Roman" w:asciiTheme="minorEastAsia" w:hAnsiTheme="minorEastAsia"/>
          <w:kern w:val="0"/>
          <w:sz w:val="24"/>
          <w:szCs w:val="24"/>
        </w:rPr>
        <w:t>）</w:t>
      </w:r>
    </w:p>
    <w:p>
      <w:pPr>
        <w:tabs>
          <w:tab w:val="left" w:pos="0"/>
        </w:tabs>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单位采购活动的处罚。</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供应商必须按上述统一格式及顺序向采购人提供《价格文件》《投标书》和《资格证明文件》，否则可能被视为无效投标。</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（四）响应文件的格式规定和签署</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w:t>
      </w:r>
      <w:r>
        <w:rPr>
          <w:rFonts w:hint="eastAsia" w:asciiTheme="minorEastAsia" w:hAnsiTheme="minorEastAsia"/>
          <w:kern w:val="0"/>
          <w:sz w:val="24"/>
          <w:szCs w:val="24"/>
        </w:rPr>
        <w:t xml:space="preserve"> 响应文件应当工整、规范、统一、清晰，采用A4幅面纸胶装成册、标注页码</w:t>
      </w:r>
      <w:r>
        <w:rPr>
          <w:rFonts w:hint="eastAsia"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2.</w:t>
      </w:r>
      <w:r>
        <w:rPr>
          <w:rFonts w:hint="eastAsia" w:cs="Times New Roman" w:asciiTheme="minorEastAsia" w:hAnsiTheme="minorEastAsia"/>
          <w:kern w:val="0"/>
          <w:sz w:val="24"/>
          <w:szCs w:val="24"/>
        </w:rPr>
        <w:t>供应商应当按照谈判文件规定的统一格式填写响应文件，响应文件开始部分应当有目录，以及方便评审委员会评审使用的项目索引。</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3.供应商名称应当填写全称，同时加盖单位公章。</w:t>
      </w:r>
    </w:p>
    <w:p>
      <w:pPr>
        <w:spacing w:line="360" w:lineRule="auto"/>
        <w:ind w:firstLine="480" w:firstLineChars="200"/>
        <w:rPr>
          <w:rFonts w:cs="宋体" w:asciiTheme="minorEastAsia" w:hAnsiTheme="minorEastAsia"/>
          <w:snapToGrid w:val="0"/>
          <w:kern w:val="0"/>
          <w:sz w:val="24"/>
          <w:szCs w:val="24"/>
          <w:lang w:val="zh-CN"/>
        </w:rPr>
      </w:pPr>
      <w:r>
        <w:rPr>
          <w:rFonts w:hint="eastAsia" w:cs="Times New Roman" w:asciiTheme="minorEastAsia" w:hAnsiTheme="minorEastAsia"/>
          <w:kern w:val="0"/>
          <w:sz w:val="24"/>
          <w:szCs w:val="24"/>
        </w:rPr>
        <w:t>4.价格文件、投标书、资格证明文件须单独封装。其中，价格文件一式</w:t>
      </w:r>
      <w:r>
        <w:rPr>
          <w:rFonts w:cs="Times New Roman" w:asciiTheme="minorEastAsia" w:hAnsiTheme="minorEastAsia"/>
          <w:kern w:val="0"/>
          <w:sz w:val="24"/>
          <w:szCs w:val="24"/>
        </w:rPr>
        <w:t>3</w:t>
      </w:r>
      <w:r>
        <w:rPr>
          <w:rFonts w:hint="eastAsia" w:cs="Times New Roman" w:asciiTheme="minorEastAsia" w:hAnsiTheme="minorEastAsia"/>
          <w:kern w:val="0"/>
          <w:sz w:val="24"/>
          <w:szCs w:val="24"/>
        </w:rPr>
        <w:t>份，其中正本1份，副本</w:t>
      </w:r>
      <w:r>
        <w:rPr>
          <w:rFonts w:cs="Times New Roman" w:asciiTheme="minorEastAsia" w:hAnsiTheme="minorEastAsia"/>
          <w:kern w:val="0"/>
          <w:sz w:val="24"/>
          <w:szCs w:val="24"/>
        </w:rPr>
        <w:t>2</w:t>
      </w:r>
      <w:r>
        <w:rPr>
          <w:rFonts w:hint="eastAsia" w:cs="Times New Roman" w:asciiTheme="minorEastAsia" w:hAnsiTheme="minorEastAsia"/>
          <w:kern w:val="0"/>
          <w:sz w:val="24"/>
          <w:szCs w:val="24"/>
        </w:rPr>
        <w:t>份；投标书一式3份，其中正本1份，副本2份；资格证明文件一式3份，其中正本1份，副本2份。在每一份文件上要注明“正本”或“副本”字样。如果正本与副本不符，以正本为准。</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5.响应文件必须打印或用黑色、蓝黑色墨水填写。</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6.开标一览表必须按照规定的格式填写，不得自行增减内容。</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7.响应文件必须由法定代表人或授权代表签署。</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8.响应文件不得随意涂改和增删。如有修改错漏之处，必须由法定代表人或授权代表签字、盖章。</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9</w:t>
      </w:r>
      <w:r>
        <w:rPr>
          <w:rFonts w:hint="eastAsia" w:cs="Times New Roman" w:asciiTheme="minorEastAsia" w:hAnsiTheme="minorEastAsia"/>
          <w:kern w:val="0"/>
          <w:sz w:val="24"/>
          <w:szCs w:val="24"/>
        </w:rPr>
        <w:t>.响应文件</w:t>
      </w:r>
      <w:r>
        <w:rPr>
          <w:rFonts w:hint="eastAsia" w:cs="Times New Roman" w:asciiTheme="minorEastAsia" w:hAnsiTheme="minorEastAsia"/>
          <w:kern w:val="0"/>
          <w:sz w:val="24"/>
          <w:szCs w:val="24"/>
          <w:lang w:val="zh-CN"/>
        </w:rPr>
        <w:t>因字迹潦草或表述不清以及复印件不清所引起的后果由供应商自行负责</w:t>
      </w:r>
      <w:r>
        <w:rPr>
          <w:rFonts w:hint="eastAsia" w:cs="Times New Roman" w:asciiTheme="minorEastAsia" w:hAnsiTheme="minorEastAsia"/>
          <w:kern w:val="0"/>
          <w:sz w:val="24"/>
          <w:szCs w:val="24"/>
        </w:rPr>
        <w:t>。</w:t>
      </w:r>
    </w:p>
    <w:p>
      <w:pPr>
        <w:tabs>
          <w:tab w:val="left" w:pos="-1418"/>
        </w:tabs>
        <w:autoSpaceDE w:val="0"/>
        <w:autoSpaceDN w:val="0"/>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rPr>
        <w:t>（五）</w:t>
      </w:r>
      <w:r>
        <w:rPr>
          <w:rFonts w:hint="eastAsia" w:cs="Times New Roman" w:asciiTheme="minorEastAsia" w:hAnsiTheme="minorEastAsia"/>
          <w:snapToGrid w:val="0"/>
          <w:kern w:val="0"/>
          <w:sz w:val="24"/>
          <w:szCs w:val="24"/>
        </w:rPr>
        <w:t>响应文件有效期</w:t>
      </w:r>
    </w:p>
    <w:p>
      <w:pPr>
        <w:tabs>
          <w:tab w:val="left" w:pos="-1418"/>
        </w:tabs>
        <w:autoSpaceDE w:val="0"/>
        <w:autoSpaceDN w:val="0"/>
        <w:spacing w:line="360" w:lineRule="auto"/>
        <w:ind w:firstLine="480" w:firstLineChars="200"/>
        <w:rPr>
          <w:rFonts w:cs="Times New Roman" w:asciiTheme="minorEastAsia" w:hAnsiTheme="minorEastAsia"/>
          <w:kern w:val="0"/>
          <w:sz w:val="24"/>
          <w:szCs w:val="24"/>
          <w:lang w:val="zh-CN"/>
        </w:rPr>
      </w:pPr>
      <w:r>
        <w:rPr>
          <w:rFonts w:hint="eastAsia" w:cs="Times New Roman" w:asciiTheme="minorEastAsia" w:hAnsiTheme="minorEastAsia"/>
          <w:snapToGrid w:val="0"/>
          <w:kern w:val="0"/>
          <w:sz w:val="24"/>
          <w:szCs w:val="24"/>
        </w:rPr>
        <w:t>1.</w:t>
      </w:r>
      <w:r>
        <w:rPr>
          <w:rFonts w:hint="eastAsia" w:cs="Times New Roman" w:asciiTheme="minorEastAsia" w:hAnsiTheme="minorEastAsia"/>
          <w:kern w:val="0"/>
          <w:sz w:val="24"/>
          <w:szCs w:val="24"/>
          <w:lang w:val="zh-CN"/>
        </w:rPr>
        <w:t>响应文件自投标截止时间起</w:t>
      </w:r>
      <w:r>
        <w:rPr>
          <w:rFonts w:hint="eastAsia" w:cs="宋体" w:asciiTheme="minorEastAsia" w:hAnsiTheme="minorEastAsia"/>
          <w:snapToGrid w:val="0"/>
          <w:kern w:val="0"/>
          <w:sz w:val="24"/>
          <w:szCs w:val="24"/>
          <w:lang w:val="zh-CN"/>
        </w:rPr>
        <w:t>60</w:t>
      </w:r>
      <w:r>
        <w:rPr>
          <w:rFonts w:hint="eastAsia" w:cs="Times New Roman" w:asciiTheme="minorEastAsia" w:hAnsiTheme="minorEastAsia"/>
          <w:kern w:val="0"/>
          <w:sz w:val="24"/>
          <w:szCs w:val="24"/>
          <w:lang w:val="zh-CN"/>
        </w:rPr>
        <w:t>日内保持有效。</w:t>
      </w:r>
    </w:p>
    <w:p>
      <w:pPr>
        <w:tabs>
          <w:tab w:val="left" w:pos="-1418"/>
        </w:tabs>
        <w:autoSpaceDE w:val="0"/>
        <w:autoSpaceDN w:val="0"/>
        <w:spacing w:line="360" w:lineRule="auto"/>
        <w:ind w:firstLine="480"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2.响应文件有效期需要延长的，采购人可与供应商进行协商，并以书面形式予以确认，谈判保证金有效期相应延长。供应商拒绝延长有效期不影响退还谈判保证金。同意延长有效期的供应商不能修改响应文件。</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3.在谈判过程中</w:t>
      </w:r>
      <w:r>
        <w:rPr>
          <w:rFonts w:hint="eastAsia" w:cs="Times New Roman" w:asciiTheme="minorEastAsia" w:hAnsiTheme="minorEastAsia"/>
          <w:kern w:val="0"/>
          <w:sz w:val="24"/>
          <w:szCs w:val="24"/>
        </w:rPr>
        <w:t>，供应商发生合并、分立、破产等重大变化时，应当及时书面告知采购人。</w:t>
      </w:r>
    </w:p>
    <w:p>
      <w:pPr>
        <w:tabs>
          <w:tab w:val="left" w:pos="-1418"/>
        </w:tabs>
        <w:autoSpaceDE w:val="0"/>
        <w:autoSpaceDN w:val="0"/>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rPr>
        <w:t>（六）投标</w:t>
      </w:r>
      <w:r>
        <w:rPr>
          <w:rFonts w:hint="eastAsia" w:cs="Times New Roman" w:asciiTheme="minorEastAsia" w:hAnsiTheme="minorEastAsia"/>
          <w:snapToGrid w:val="0"/>
          <w:kern w:val="0"/>
          <w:sz w:val="24"/>
          <w:szCs w:val="24"/>
        </w:rPr>
        <w:t>报价</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1.</w:t>
      </w:r>
      <w:r>
        <w:rPr>
          <w:rFonts w:hint="eastAsia" w:cs="Times New Roman" w:asciiTheme="minorEastAsia" w:hAnsiTheme="minorEastAsia"/>
          <w:kern w:val="0"/>
          <w:sz w:val="24"/>
          <w:szCs w:val="24"/>
          <w:lang w:val="zh-CN"/>
        </w:rPr>
        <w:t>所有报价均以人民币为货币单位</w:t>
      </w:r>
      <w:r>
        <w:rPr>
          <w:rFonts w:hint="eastAsia" w:cs="Times New Roman" w:asciiTheme="minorEastAsia" w:hAnsiTheme="minorEastAsia"/>
          <w:kern w:val="0"/>
          <w:sz w:val="24"/>
          <w:szCs w:val="24"/>
        </w:rPr>
        <w:t>。</w:t>
      </w:r>
    </w:p>
    <w:p>
      <w:pPr>
        <w:tabs>
          <w:tab w:val="left" w:pos="-1418"/>
        </w:tabs>
        <w:autoSpaceDE w:val="0"/>
        <w:autoSpaceDN w:val="0"/>
        <w:spacing w:line="360" w:lineRule="auto"/>
        <w:ind w:firstLine="480" w:firstLineChars="200"/>
        <w:rPr>
          <w:rFonts w:cs="宋体" w:asciiTheme="minorEastAsia" w:hAnsiTheme="minorEastAsia"/>
          <w:snapToGrid w:val="0"/>
          <w:kern w:val="0"/>
          <w:sz w:val="24"/>
          <w:szCs w:val="24"/>
          <w:lang w:val="zh-CN"/>
        </w:rPr>
      </w:pPr>
      <w:r>
        <w:rPr>
          <w:rFonts w:hint="eastAsia" w:cs="Times New Roman" w:asciiTheme="minorEastAsia" w:hAnsiTheme="minorEastAsia"/>
          <w:kern w:val="0"/>
          <w:sz w:val="24"/>
          <w:szCs w:val="24"/>
        </w:rPr>
        <w:t>2.</w:t>
      </w:r>
      <w:r>
        <w:rPr>
          <w:rFonts w:hint="eastAsia" w:cs="Times New Roman" w:asciiTheme="minorEastAsia" w:hAnsiTheme="minorEastAsia"/>
          <w:kern w:val="0"/>
          <w:sz w:val="24"/>
          <w:szCs w:val="24"/>
          <w:lang w:val="zh-CN"/>
        </w:rPr>
        <w:t>所有单价和总价按照开标一览表格式要求填报。</w:t>
      </w:r>
      <w:r>
        <w:rPr>
          <w:rFonts w:hint="eastAsia" w:cs="宋体" w:asciiTheme="minorEastAsia" w:hAnsiTheme="minorEastAsia"/>
          <w:snapToGrid w:val="0"/>
          <w:kern w:val="0"/>
          <w:sz w:val="24"/>
          <w:szCs w:val="24"/>
          <w:lang w:val="zh-CN"/>
        </w:rPr>
        <w:t>报价应包括货款、标准附件、备品备件、专用工具、包装、安装、调试、培训、保修等费用和税金。</w:t>
      </w:r>
    </w:p>
    <w:p>
      <w:pPr>
        <w:tabs>
          <w:tab w:val="left" w:pos="-1418"/>
        </w:tabs>
        <w:autoSpaceDE w:val="0"/>
        <w:autoSpaceDN w:val="0"/>
        <w:spacing w:line="360" w:lineRule="auto"/>
        <w:ind w:firstLine="480" w:firstLineChars="200"/>
        <w:rPr>
          <w:rFonts w:cs="Times New Roman" w:asciiTheme="minorEastAsia" w:hAnsiTheme="minorEastAsia"/>
          <w:kern w:val="0"/>
          <w:sz w:val="24"/>
          <w:szCs w:val="24"/>
          <w:lang w:val="zh-CN"/>
        </w:rPr>
      </w:pPr>
      <w:r>
        <w:rPr>
          <w:rFonts w:hint="eastAsia" w:cs="宋体" w:asciiTheme="minorEastAsia" w:hAnsiTheme="minorEastAsia"/>
          <w:snapToGrid w:val="0"/>
          <w:kern w:val="0"/>
          <w:sz w:val="24"/>
          <w:szCs w:val="24"/>
          <w:lang w:val="zh-CN"/>
        </w:rPr>
        <w:t>3.</w:t>
      </w:r>
      <w:r>
        <w:rPr>
          <w:rFonts w:hint="eastAsia" w:cs="Times New Roman" w:asciiTheme="minorEastAsia" w:hAnsiTheme="minorEastAsia"/>
          <w:kern w:val="0"/>
          <w:sz w:val="24"/>
          <w:szCs w:val="24"/>
          <w:lang w:val="zh-CN"/>
        </w:rPr>
        <w:t>响应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响应文件的解释发生异议的，以中文文本为准。供应商不接受以上修正的视为无效投标。</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4.供应商</w:t>
      </w:r>
      <w:r>
        <w:rPr>
          <w:rFonts w:hint="eastAsia" w:cs="Times New Roman" w:asciiTheme="minorEastAsia" w:hAnsiTheme="minorEastAsia"/>
          <w:kern w:val="0"/>
          <w:sz w:val="24"/>
          <w:szCs w:val="24"/>
        </w:rPr>
        <w:t>对同一种货物只允许有一种报价，采购人不接受任何有选择的报价或者有附加条件的报价。</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评审委员会对供应商每个项目各品种物资报价进行评定。若五分之四以上评委认定报价或者重要分项报价明显不合理或者低于成本，有可能影响产品质量和不能诚信履约的，评审委员会应当要求其在规定时限内提供书面文件予以解释说明，并提交相关证明材料，否则评审委员会有权视其为低价恶意竞争，其投标报价无效。</w:t>
      </w:r>
    </w:p>
    <w:p>
      <w:pPr>
        <w:tabs>
          <w:tab w:val="left" w:pos="-1418"/>
        </w:tabs>
        <w:autoSpaceDE w:val="0"/>
        <w:autoSpaceDN w:val="0"/>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rPr>
        <w:t>（七）</w:t>
      </w:r>
      <w:r>
        <w:rPr>
          <w:rFonts w:hint="eastAsia" w:cs="Times New Roman" w:asciiTheme="minorEastAsia" w:hAnsiTheme="minorEastAsia"/>
          <w:snapToGrid w:val="0"/>
          <w:kern w:val="0"/>
          <w:sz w:val="24"/>
          <w:szCs w:val="24"/>
        </w:rPr>
        <w:t>谈判保证金</w:t>
      </w:r>
    </w:p>
    <w:p>
      <w:pPr>
        <w:tabs>
          <w:tab w:val="left" w:pos="-1418"/>
        </w:tabs>
        <w:autoSpaceDE w:val="0"/>
        <w:autoSpaceDN w:val="0"/>
        <w:spacing w:line="360" w:lineRule="auto"/>
        <w:ind w:firstLine="480" w:firstLineChars="200"/>
        <w:rPr>
          <w:rFonts w:cs="Times New Roman" w:asciiTheme="minorEastAsia" w:hAnsiTheme="minorEastAsia"/>
          <w:color w:val="FF0000"/>
          <w:kern w:val="0"/>
          <w:sz w:val="24"/>
          <w:szCs w:val="24"/>
        </w:rPr>
      </w:pPr>
      <w:r>
        <w:rPr>
          <w:rFonts w:hint="eastAsia" w:cs="Times New Roman" w:asciiTheme="minorEastAsia" w:hAnsiTheme="minorEastAsia"/>
          <w:snapToGrid w:val="0"/>
          <w:kern w:val="0"/>
          <w:sz w:val="24"/>
          <w:szCs w:val="24"/>
          <w:highlight w:val="yellow"/>
        </w:rPr>
        <w:t>1.</w:t>
      </w:r>
      <w:r>
        <w:rPr>
          <w:rFonts w:hint="eastAsia" w:cs="Times New Roman" w:asciiTheme="minorEastAsia" w:hAnsiTheme="minorEastAsia"/>
          <w:kern w:val="0"/>
          <w:sz w:val="24"/>
          <w:szCs w:val="24"/>
          <w:highlight w:val="yellow"/>
          <w:lang w:val="zh-CN"/>
        </w:rPr>
        <w:t>供应商应当在谈判截止时间前向采购代理机构交纳</w:t>
      </w:r>
      <w:r>
        <w:rPr>
          <w:rFonts w:hint="eastAsia" w:cs="Times New Roman" w:asciiTheme="minorEastAsia" w:hAnsiTheme="minorEastAsia"/>
          <w:color w:val="FF0000"/>
          <w:kern w:val="0"/>
          <w:sz w:val="24"/>
          <w:szCs w:val="24"/>
          <w:highlight w:val="yellow"/>
          <w:lang w:val="zh-CN"/>
        </w:rPr>
        <w:t>10000元谈判保证金</w:t>
      </w:r>
      <w:r>
        <w:rPr>
          <w:rFonts w:hint="eastAsia" w:cs="Times New Roman" w:asciiTheme="minorEastAsia" w:hAnsiTheme="minorEastAsia"/>
          <w:color w:val="FF0000"/>
          <w:kern w:val="0"/>
          <w:sz w:val="24"/>
          <w:szCs w:val="24"/>
          <w:highlight w:val="yellow"/>
        </w:rPr>
        <w:t>。</w:t>
      </w:r>
    </w:p>
    <w:p>
      <w:pPr>
        <w:tabs>
          <w:tab w:val="left" w:pos="-1418"/>
        </w:tabs>
        <w:autoSpaceDE w:val="0"/>
        <w:autoSpaceDN w:val="0"/>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rPr>
        <w:t>2.</w:t>
      </w:r>
      <w:r>
        <w:rPr>
          <w:rFonts w:hint="eastAsia" w:asciiTheme="minorEastAsia" w:hAnsiTheme="minorEastAsia"/>
          <w:kern w:val="0"/>
          <w:sz w:val="24"/>
          <w:szCs w:val="24"/>
          <w:u w:color="000000"/>
        </w:rPr>
        <w:t>谈判保证金只能采取电汇或网上银行支付的方式交纳，在投标截止时间前必须到达采购人账户内，未到账的投标将被拒绝</w:t>
      </w:r>
      <w:r>
        <w:rPr>
          <w:rFonts w:hint="eastAsia" w:cs="Times New Roman" w:asciiTheme="minorEastAsia" w:hAnsiTheme="minorEastAsia"/>
          <w:snapToGrid w:val="0"/>
          <w:kern w:val="0"/>
          <w:sz w:val="24"/>
          <w:szCs w:val="24"/>
        </w:rPr>
        <w:t>。</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3.成交人的谈判保证金，在签订正式合同后5个工作日内全额无息退还。未成交供应商的谈判保证金，将在采购人发出未中标通知书后5个工作日内全额无息退还。</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4.有下列情况之一的，谈判保证金将不予退还：</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(1)开标后供应商在投标有效期内撤回其响应文件的；</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(2)供应商干扰开标、评标活动，造成严重影响和后果的；</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(3)虚假投标、串通投标的；</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(4)成交人无正当理由放弃中标的；</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(5)成交人不按谈判文件规定签订合同的；</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(6)其他违反国家法律法规行为的。</w:t>
      </w:r>
    </w:p>
    <w:p>
      <w:pPr>
        <w:tabs>
          <w:tab w:val="left" w:pos="-1418"/>
        </w:tabs>
        <w:autoSpaceDE w:val="0"/>
        <w:autoSpaceDN w:val="0"/>
        <w:spacing w:line="360" w:lineRule="auto"/>
        <w:ind w:firstLine="480" w:firstLineChars="200"/>
        <w:rPr>
          <w:rFonts w:cs="Times New Roman" w:asciiTheme="minorEastAsia" w:hAnsiTheme="minorEastAsia"/>
          <w:kern w:val="0"/>
          <w:sz w:val="24"/>
          <w:szCs w:val="24"/>
        </w:rPr>
      </w:pP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br w:type="page"/>
      </w:r>
    </w:p>
    <w:p>
      <w:pPr>
        <w:spacing w:line="360" w:lineRule="auto"/>
        <w:jc w:val="center"/>
        <w:rPr>
          <w:rFonts w:cs="Times New Roman" w:asciiTheme="minorEastAsia" w:hAnsiTheme="minorEastAsia"/>
          <w:b/>
          <w:kern w:val="0"/>
          <w:sz w:val="28"/>
          <w:szCs w:val="28"/>
        </w:rPr>
      </w:pPr>
      <w:r>
        <w:rPr>
          <w:rFonts w:hint="eastAsia" w:cs="Times New Roman" w:asciiTheme="minorEastAsia" w:hAnsiTheme="minorEastAsia"/>
          <w:b/>
          <w:kern w:val="0"/>
          <w:sz w:val="28"/>
          <w:szCs w:val="28"/>
        </w:rPr>
        <w:t>四、响应文件</w:t>
      </w:r>
      <w:r>
        <w:rPr>
          <w:rFonts w:cs="Times New Roman" w:asciiTheme="minorEastAsia" w:hAnsiTheme="minorEastAsia"/>
          <w:b/>
          <w:kern w:val="0"/>
          <w:sz w:val="28"/>
          <w:szCs w:val="28"/>
        </w:rPr>
        <w:t>递交</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（一）响应文件密封及标记</w:t>
      </w:r>
    </w:p>
    <w:p>
      <w:pPr>
        <w:spacing w:line="360" w:lineRule="auto"/>
        <w:ind w:firstLine="480" w:firstLineChars="200"/>
        <w:rPr>
          <w:rFonts w:asciiTheme="minorEastAsia" w:hAnsiTheme="minorEastAsia"/>
          <w:sz w:val="24"/>
          <w:szCs w:val="24"/>
        </w:rPr>
      </w:pPr>
      <w:r>
        <w:rPr>
          <w:rFonts w:hint="eastAsia" w:cs="Times New Roman" w:asciiTheme="minorEastAsia" w:hAnsiTheme="minorEastAsia"/>
          <w:snapToGrid w:val="0"/>
          <w:kern w:val="0"/>
          <w:sz w:val="24"/>
          <w:szCs w:val="24"/>
        </w:rPr>
        <w:t>1.</w:t>
      </w:r>
      <w:r>
        <w:rPr>
          <w:rFonts w:hint="eastAsia" w:asciiTheme="minorEastAsia" w:hAnsiTheme="minorEastAsia"/>
          <w:sz w:val="24"/>
          <w:szCs w:val="24"/>
        </w:rPr>
        <w:t>价格文件须单独密封、单独递交，与其他文件合并封装的，视为无效投标。</w:t>
      </w:r>
    </w:p>
    <w:p>
      <w:pPr>
        <w:spacing w:line="360" w:lineRule="auto"/>
        <w:ind w:firstLine="480"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2.投标书、资格证明文件的正本和副本统一装入密封袋内，封口处应当有供应商单位公章，封面上注明“项目名称、项目编号、所投包号、供应商名称”和“开标时启封”字样。</w:t>
      </w:r>
    </w:p>
    <w:p>
      <w:pPr>
        <w:spacing w:line="360" w:lineRule="auto"/>
        <w:ind w:firstLine="480"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3.供应商应当在谈判文件明确的递交响应文件截止时间前，将响应文件送达采购人指定地点。逾期递交的响应文件，采购人将拒收。</w:t>
      </w:r>
    </w:p>
    <w:p>
      <w:pPr>
        <w:spacing w:line="360" w:lineRule="auto"/>
        <w:ind w:firstLine="480"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4.电报、电话、电传、邮寄等形式的响应文件概不接受。</w:t>
      </w:r>
    </w:p>
    <w:p>
      <w:pPr>
        <w:spacing w:line="360" w:lineRule="auto"/>
        <w:ind w:firstLine="480"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5.响应文件未按要求密封、标记的，采购人将拒收。</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lang w:val="zh-CN"/>
        </w:rPr>
        <w:t>（二）</w:t>
      </w:r>
      <w:r>
        <w:rPr>
          <w:rFonts w:hint="eastAsia" w:cs="Times New Roman" w:asciiTheme="minorEastAsia" w:hAnsiTheme="minorEastAsia"/>
          <w:snapToGrid w:val="0"/>
          <w:kern w:val="0"/>
          <w:sz w:val="24"/>
          <w:szCs w:val="24"/>
        </w:rPr>
        <w:t>响应文件的修改和撤回</w:t>
      </w:r>
    </w:p>
    <w:p>
      <w:pPr>
        <w:spacing w:line="360" w:lineRule="auto"/>
        <w:ind w:firstLine="480"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1.供应商在投标截止时间前，可以对所提交的响应文件进行补充、修改或者撤回。补充、修改的内容应当以书面形式通知采购人，并按照谈判文件要求签署、盖章，作为响应文件的组成部分。</w:t>
      </w:r>
    </w:p>
    <w:p>
      <w:pPr>
        <w:spacing w:line="360" w:lineRule="auto"/>
        <w:ind w:firstLine="480"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2.在投标截止时间之后，采购人将不接受对响应文件内容的实质性修改。</w:t>
      </w:r>
    </w:p>
    <w:p>
      <w:pPr>
        <w:spacing w:line="360" w:lineRule="auto"/>
        <w:ind w:firstLine="480"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3.供应商修改响应文件的书面材料，须密封送达投标地点，并在封面上标明“投标修改文件、项目名称、项目编号、供应商名称”和“开标时启封”字样。</w:t>
      </w:r>
    </w:p>
    <w:p>
      <w:pPr>
        <w:spacing w:line="360" w:lineRule="auto"/>
        <w:ind w:firstLine="480"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4.供应商撤回响应文件应当以书面形式通知采购人。采取电报或传真形式撤回投标的，必须补充法定代表人或授权代表签署、盖章的撤回投标的正式文件。撤回投标的时间以供应商的书面撤回通知送达采购人时间为准。</w:t>
      </w:r>
    </w:p>
    <w:p>
      <w:pPr>
        <w:spacing w:line="360" w:lineRule="auto"/>
        <w:ind w:firstLine="480"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5.谈判开始后后，供应商不得撤回响应文件，否则谈判保证金不予退还。</w:t>
      </w:r>
    </w:p>
    <w:p>
      <w:pPr>
        <w:spacing w:line="360" w:lineRule="auto"/>
        <w:jc w:val="center"/>
        <w:rPr>
          <w:rFonts w:ascii="Times New Roman" w:hAnsi="Times New Roman" w:eastAsia="黑体" w:cs="Times New Roman"/>
          <w:kern w:val="0"/>
          <w:sz w:val="28"/>
          <w:szCs w:val="28"/>
        </w:rPr>
      </w:pPr>
    </w:p>
    <w:p>
      <w:pPr>
        <w:spacing w:line="360" w:lineRule="auto"/>
        <w:jc w:val="center"/>
        <w:rPr>
          <w:rFonts w:cs="Times New Roman" w:asciiTheme="minorEastAsia" w:hAnsiTheme="minorEastAsia"/>
          <w:b/>
          <w:kern w:val="0"/>
          <w:sz w:val="28"/>
          <w:szCs w:val="28"/>
        </w:rPr>
      </w:pPr>
      <w:r>
        <w:rPr>
          <w:rFonts w:hint="eastAsia" w:cs="Times New Roman" w:asciiTheme="minorEastAsia" w:hAnsiTheme="minorEastAsia"/>
          <w:b/>
          <w:kern w:val="0"/>
          <w:sz w:val="28"/>
          <w:szCs w:val="28"/>
        </w:rPr>
        <w:t>五、开标与评标</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（一）开标</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w:t>
      </w:r>
      <w:r>
        <w:rPr>
          <w:rFonts w:hint="eastAsia" w:asciiTheme="minorEastAsia" w:hAnsiTheme="minorEastAsia"/>
          <w:kern w:val="0"/>
          <w:sz w:val="24"/>
          <w:szCs w:val="24"/>
        </w:rPr>
        <w:t xml:space="preserve"> 供应商不足2家的不得继续进行，除改用单一来源方式等其他方式外，不得拆封供应商投标（报价）文件，并当场退还供应商”</w:t>
      </w:r>
      <w:r>
        <w:rPr>
          <w:rFonts w:hint="eastAsia" w:cs="Times New Roman" w:asciiTheme="minorEastAsia" w:hAnsiTheme="minorEastAsia"/>
          <w:snapToGrid w:val="0"/>
          <w:kern w:val="0"/>
          <w:sz w:val="24"/>
          <w:szCs w:val="24"/>
        </w:rPr>
        <w:t>。</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2.采购人按谈判文件规定的时间、地点开标。开标大会由采购人或委托采购代理机构主持，供应商和有关方面代表参加。评审委员会成员不得参加开标大会。</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3.开标时，由采购人委托的公证机构或监标人，或者由供应商代表检查所有响应文件的密封情况并当场公布检查结果。对投标截止时间前收到的所有密封符合要求的响应文件，由工作人员当众拆封唱标，宣读开标一览表以及采购人认为有必要唱出的内容。</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4.供应商对开标有异议的，应当在开标现场提出，采购人应当场作出答复。采购人同时做开标记录。</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（二）评审</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1.评审委员会</w:t>
      </w:r>
    </w:p>
    <w:p>
      <w:pPr>
        <w:spacing w:line="360" w:lineRule="auto"/>
        <w:ind w:firstLine="480"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采购人根据规定组建评审委员会，其成员由技术、经济等方面的专家和采购人代表组成，分为技术评审组和商务评审组，对响应文件进行评审。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2.评标原则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(1)评标工作严格遵守公平、公正、择优的原则；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(2)对所有响应谈判文件实质性要求的供应商一视同仁；</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(3)综合比较货物性能、质量、价格、交货期、售后服务等因素，确定评审排序结果；</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(4)报价最低不作为中标的保证。</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3.评标方法</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综合评分法。技术和商务评审（依据表2-表3）总得分由高到低顺序排列，得分最高的供应商作为预成交人；得分相同的，按照投标报价由低到高顺序排列；得分且投标报价均相同的，则抽签排序。</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评审委员会成员技术、商务（不含价格因素）最终评分偏离评审委员会全体成员评分均值±20%的，该成员的评分将被剔除，以其他评委的评分均值计算，作为该成员的评分计入总分值；评审委员会所有成员评分均超出±20%时，直接以全体成员评分均值计算，不再剔除。</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采用综合评分法评审时，供应商报价高于全体有效供应商报价平均值40%以上的，不得推荐为预成交人。供应商的技术、商务（不含价格因素）得分低于全体有效供应商的技术、商务得分平均值30%以上的，不得推荐为预成交人。</w:t>
      </w:r>
    </w:p>
    <w:p>
      <w:pPr>
        <w:rPr>
          <w:rFonts w:ascii="黑体" w:hAnsi="黑体" w:eastAsia="黑体" w:cs="Times New Roman"/>
          <w:kern w:val="0"/>
          <w:sz w:val="32"/>
          <w:szCs w:val="32"/>
        </w:rPr>
        <w:sectPr>
          <w:headerReference r:id="rId5" w:type="default"/>
          <w:pgSz w:w="11906" w:h="16838"/>
          <w:pgMar w:top="1440" w:right="1440" w:bottom="1440" w:left="1440" w:header="851" w:footer="992" w:gutter="0"/>
          <w:cols w:space="425" w:num="1"/>
          <w:docGrid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表1</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项目名称：</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项目编号</w:t>
      </w:r>
      <w:r>
        <w:rPr>
          <w:rFonts w:hint="eastAsia" w:ascii="Times New Roman" w:hAnsi="Times New Roman" w:eastAsia="宋体" w:cs="Times New Roman"/>
          <w:kern w:val="0"/>
          <w:sz w:val="24"/>
          <w:szCs w:val="24"/>
        </w:rPr>
        <w:t>：</w:t>
      </w:r>
    </w:p>
    <w:tbl>
      <w:tblPr>
        <w:tblStyle w:val="19"/>
        <w:tblW w:w="5000" w:type="pct"/>
        <w:jc w:val="center"/>
        <w:tblLayout w:type="fixed"/>
        <w:tblCellMar>
          <w:top w:w="0" w:type="dxa"/>
          <w:left w:w="108" w:type="dxa"/>
          <w:bottom w:w="0" w:type="dxa"/>
          <w:right w:w="108" w:type="dxa"/>
        </w:tblCellMar>
      </w:tblPr>
      <w:tblGrid>
        <w:gridCol w:w="5972"/>
        <w:gridCol w:w="1090"/>
        <w:gridCol w:w="1090"/>
        <w:gridCol w:w="1090"/>
      </w:tblGrid>
      <w:tr>
        <w:tblPrEx>
          <w:tblCellMar>
            <w:top w:w="0" w:type="dxa"/>
            <w:left w:w="108" w:type="dxa"/>
            <w:bottom w:w="0" w:type="dxa"/>
            <w:right w:w="108" w:type="dxa"/>
          </w:tblCellMar>
        </w:tblPrEx>
        <w:trPr>
          <w:trHeight w:val="454" w:hRule="exact"/>
          <w:jc w:val="center"/>
        </w:trPr>
        <w:tc>
          <w:tcPr>
            <w:tcW w:w="59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审查项目</w:t>
            </w:r>
          </w:p>
        </w:tc>
        <w:tc>
          <w:tcPr>
            <w:tcW w:w="2180"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是否合格</w:t>
            </w:r>
          </w:p>
        </w:tc>
        <w:tc>
          <w:tcPr>
            <w:tcW w:w="1090" w:type="dxa"/>
            <w:vMerge w:val="restart"/>
            <w:tcBorders>
              <w:top w:val="single" w:color="auto" w:sz="4" w:space="0"/>
              <w:left w:val="nil"/>
              <w:right w:val="single" w:color="auto" w:sz="4" w:space="0"/>
            </w:tcBorders>
            <w:noWrap/>
            <w:vAlign w:val="center"/>
          </w:tcPr>
          <w:p>
            <w:pPr>
              <w:spacing w:line="240" w:lineRule="exact"/>
              <w:jc w:val="center"/>
              <w:rPr>
                <w:rFonts w:ascii="黑体" w:hAnsi="黑体" w:eastAsia="黑体" w:cs="宋体"/>
                <w:kern w:val="0"/>
                <w:szCs w:val="21"/>
              </w:rPr>
            </w:pPr>
            <w:r>
              <w:rPr>
                <w:rFonts w:hint="eastAsia" w:ascii="黑体" w:hAnsi="黑体" w:eastAsia="黑体" w:cs="宋体"/>
                <w:kern w:val="0"/>
                <w:szCs w:val="21"/>
              </w:rPr>
              <w:t>说明</w:t>
            </w:r>
          </w:p>
        </w:tc>
      </w:tr>
      <w:tr>
        <w:tblPrEx>
          <w:tblCellMar>
            <w:top w:w="0" w:type="dxa"/>
            <w:left w:w="108" w:type="dxa"/>
            <w:bottom w:w="0" w:type="dxa"/>
            <w:right w:w="108" w:type="dxa"/>
          </w:tblCellMar>
        </w:tblPrEx>
        <w:trPr>
          <w:trHeight w:val="454" w:hRule="exact"/>
          <w:jc w:val="center"/>
        </w:trPr>
        <w:tc>
          <w:tcPr>
            <w:tcW w:w="59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供应商1</w:t>
            </w: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w:t>
            </w:r>
          </w:p>
        </w:tc>
        <w:tc>
          <w:tcPr>
            <w:tcW w:w="1090" w:type="dxa"/>
            <w:vMerge w:val="continue"/>
            <w:tcBorders>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972" w:type="dxa"/>
            <w:tcBorders>
              <w:top w:val="nil"/>
              <w:left w:val="single" w:color="auto" w:sz="4" w:space="0"/>
              <w:bottom w:val="single" w:color="auto" w:sz="4" w:space="0"/>
              <w:right w:val="single" w:color="auto" w:sz="4" w:space="0"/>
            </w:tcBorders>
            <w:vAlign w:val="center"/>
          </w:tcPr>
          <w:p>
            <w:pPr>
              <w:widowControl/>
              <w:spacing w:line="240" w:lineRule="exact"/>
              <w:rPr>
                <w:rFonts w:cs="宋体" w:asciiTheme="minorEastAsia" w:hAnsiTheme="minorEastAsia"/>
                <w:bCs/>
                <w:kern w:val="0"/>
                <w:szCs w:val="21"/>
              </w:rPr>
            </w:pPr>
            <w:r>
              <w:rPr>
                <w:rFonts w:hint="eastAsia" w:cs="Times New Roman" w:asciiTheme="minorEastAsia" w:hAnsiTheme="minorEastAsia"/>
                <w:kern w:val="0"/>
                <w:sz w:val="24"/>
                <w:szCs w:val="24"/>
              </w:rPr>
              <w:t>一、资格性审查内容</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hint="eastAsia" w:asciiTheme="minorEastAsia" w:hAnsiTheme="minorEastAsia"/>
              </w:rPr>
              <w:t xml:space="preserve"> </w:t>
            </w:r>
            <w:r>
              <w:rPr>
                <w:rFonts w:hint="eastAsia" w:cs="Times New Roman" w:asciiTheme="minorEastAsia" w:hAnsiTheme="minorEastAsia"/>
                <w:kern w:val="0"/>
                <w:sz w:val="24"/>
                <w:szCs w:val="24"/>
              </w:rPr>
              <w:t>具有独立承担民事责任的能力；（提供法人或者其他组织的营业执照等证明文件，自然人的身份证明）</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164"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hint="eastAsia" w:asciiTheme="minorEastAsia" w:hAnsiTheme="minorEastAsia"/>
              </w:rPr>
              <w:t xml:space="preserve"> </w:t>
            </w:r>
            <w:r>
              <w:rPr>
                <w:rFonts w:hint="eastAsia" w:cs="Times New Roman" w:asciiTheme="minorEastAsia" w:hAnsiTheme="minorEastAsia"/>
                <w:kern w:val="0"/>
                <w:sz w:val="24"/>
                <w:szCs w:val="24"/>
              </w:rPr>
              <w:t>.具有良好的商业信誉和健全的财务会计制度；（提供参加本次政府采购活动前的会计报表至少包含资产负债表、利润表、资金流量表所有者权益变动表及附注）</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98"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Theme="minorEastAsia" w:hAnsiTheme="minorEastAsia"/>
              </w:rPr>
              <w:t xml:space="preserve"> </w:t>
            </w:r>
            <w:r>
              <w:rPr>
                <w:rFonts w:hint="eastAsia" w:cs="Times New Roman" w:asciiTheme="minorEastAsia" w:hAnsiTheme="minorEastAsia"/>
                <w:kern w:val="0"/>
                <w:sz w:val="24"/>
                <w:szCs w:val="24"/>
              </w:rPr>
              <w:t>具有履行合同所必需的设备和专业技术能力；（提供承诺书）</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997"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hint="eastAsia" w:asciiTheme="minorEastAsia" w:hAnsiTheme="minorEastAsia"/>
              </w:rPr>
              <w:t xml:space="preserve"> </w:t>
            </w:r>
            <w:r>
              <w:rPr>
                <w:rFonts w:hint="eastAsia" w:cs="Times New Roman" w:asciiTheme="minorEastAsia" w:hAnsiTheme="minorEastAsia"/>
                <w:kern w:val="0"/>
                <w:sz w:val="24"/>
                <w:szCs w:val="24"/>
              </w:rPr>
              <w:t>有依法缴纳税收和社会保障资金的良好记录；（提供参加本次政府采购活动前三个月内（至少一个月）依法缴纳税收和社会保障资金的相关材料）</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983"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5.</w:t>
            </w:r>
            <w:r>
              <w:rPr>
                <w:rFonts w:hint="eastAsia" w:asciiTheme="minorEastAsia" w:hAnsiTheme="minorEastAsia"/>
              </w:rPr>
              <w:t xml:space="preserve"> </w:t>
            </w:r>
            <w:r>
              <w:rPr>
                <w:rFonts w:hint="eastAsia" w:cs="Times New Roman" w:asciiTheme="minorEastAsia" w:hAnsiTheme="minorEastAsia"/>
                <w:kern w:val="0"/>
                <w:sz w:val="24"/>
                <w:szCs w:val="24"/>
              </w:rPr>
              <w:t>参加政府采购活动前3年内，在经营活动中没有重大违法记录；（提供参加政府采购活动前3年内在经营活动中没有重大违法记录的书面声明）</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71"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6.符合法律、行政法规规定的其他条件（提供承诺书）</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2103"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7.</w:t>
            </w:r>
            <w:r>
              <w:rPr>
                <w:rFonts w:hint="eastAsia" w:asciiTheme="minorEastAsia" w:hAnsiTheme="minorEastAsia"/>
              </w:rPr>
              <w:t xml:space="preserve"> </w:t>
            </w:r>
            <w:r>
              <w:rPr>
                <w:rFonts w:hint="eastAsia" w:cs="Times New Roman" w:asciiTheme="minorEastAsia" w:hAnsiTheme="minor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单位采购活动的处罚。</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二、符合性审查内容</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1.投标书、资格证明文件密封完好</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2.响应文件签署、盖章齐全完整</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3.响应文件组成齐全完整</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4.响应文件有效期满足谈判文件要求</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5.谈判保证金满足谈判文件要求</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972" w:type="dxa"/>
            <w:tcBorders>
              <w:top w:val="nil"/>
              <w:left w:val="single" w:color="auto" w:sz="4" w:space="0"/>
              <w:bottom w:val="single" w:color="auto" w:sz="4" w:space="0"/>
              <w:right w:val="single" w:color="auto" w:sz="4" w:space="0"/>
            </w:tcBorders>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6.其他内容</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972"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综合评定</w:t>
            </w:r>
          </w:p>
        </w:tc>
        <w:tc>
          <w:tcPr>
            <w:tcW w:w="109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134" w:hRule="exact"/>
          <w:jc w:val="center"/>
        </w:trPr>
        <w:tc>
          <w:tcPr>
            <w:tcW w:w="9242"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left"/>
              <w:rPr>
                <w:rFonts w:ascii="宋体" w:hAnsi="宋体" w:eastAsia="宋体" w:cs="宋体"/>
                <w:kern w:val="0"/>
                <w:szCs w:val="21"/>
              </w:rPr>
            </w:pPr>
            <w:r>
              <w:rPr>
                <w:rFonts w:hint="eastAsia" w:ascii="宋体" w:hAnsi="宋体" w:eastAsia="宋体" w:cs="宋体"/>
                <w:kern w:val="0"/>
                <w:szCs w:val="21"/>
              </w:rPr>
              <w:t>说明：1.合格打“√”, 不合格打“×”。</w:t>
            </w:r>
          </w:p>
          <w:p>
            <w:pPr>
              <w:widowControl/>
              <w:spacing w:line="240" w:lineRule="exact"/>
              <w:ind w:firstLine="630" w:firstLineChars="300"/>
              <w:jc w:val="left"/>
              <w:rPr>
                <w:rFonts w:ascii="宋体" w:hAnsi="宋体" w:eastAsia="宋体" w:cs="宋体"/>
                <w:kern w:val="0"/>
                <w:szCs w:val="21"/>
              </w:rPr>
            </w:pPr>
            <w:r>
              <w:rPr>
                <w:rFonts w:hint="eastAsia" w:ascii="宋体" w:hAnsi="宋体" w:eastAsia="宋体" w:cs="宋体"/>
                <w:kern w:val="0"/>
                <w:szCs w:val="21"/>
              </w:rPr>
              <w:t>2.有一项内容不合格，综合评定为不合格。</w:t>
            </w:r>
          </w:p>
          <w:p>
            <w:pPr>
              <w:widowControl/>
              <w:spacing w:line="240" w:lineRule="exact"/>
              <w:ind w:firstLine="630" w:firstLineChars="300"/>
              <w:jc w:val="left"/>
              <w:rPr>
                <w:rFonts w:ascii="宋体" w:hAnsi="宋体" w:eastAsia="宋体" w:cs="宋体"/>
                <w:kern w:val="0"/>
                <w:szCs w:val="21"/>
              </w:rPr>
            </w:pPr>
            <w:r>
              <w:rPr>
                <w:rFonts w:hint="eastAsia" w:ascii="宋体" w:hAnsi="宋体" w:eastAsia="宋体" w:cs="宋体"/>
                <w:kern w:val="0"/>
                <w:szCs w:val="21"/>
              </w:rPr>
              <w:t>3.采购机构应当结合采购项目实际情况，适当增减调整审查内容。</w:t>
            </w:r>
          </w:p>
        </w:tc>
      </w:tr>
    </w:tbl>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评审委员会</w:t>
      </w:r>
      <w:r>
        <w:rPr>
          <w:rFonts w:ascii="Times New Roman" w:hAnsi="Times New Roman" w:eastAsia="宋体" w:cs="Times New Roman"/>
          <w:kern w:val="0"/>
          <w:sz w:val="24"/>
          <w:szCs w:val="24"/>
        </w:rPr>
        <w:t>成员签名：</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日</w:t>
      </w:r>
    </w:p>
    <w:p>
      <w:pPr>
        <w:jc w:val="center"/>
        <w:rPr>
          <w:rFonts w:ascii="方正小标宋简体" w:hAnsi="Times New Roman" w:eastAsia="方正小标宋简体" w:cs="Times New Roman"/>
          <w:kern w:val="0"/>
          <w:sz w:val="36"/>
          <w:szCs w:val="36"/>
        </w:rPr>
        <w:sectPr>
          <w:pgSz w:w="11906" w:h="16838"/>
          <w:pgMar w:top="1440" w:right="1440" w:bottom="1440" w:left="1440" w:header="851" w:footer="992" w:gutter="0"/>
          <w:cols w:space="425" w:num="1"/>
          <w:docGrid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表</w:t>
      </w:r>
      <w:r>
        <w:rPr>
          <w:rFonts w:ascii="黑体" w:hAnsi="黑体" w:eastAsia="黑体" w:cs="Times New Roman"/>
          <w:kern w:val="0"/>
          <w:sz w:val="32"/>
          <w:szCs w:val="32"/>
        </w:rPr>
        <w:t>2</w:t>
      </w:r>
    </w:p>
    <w:p>
      <w:pPr>
        <w:autoSpaceDE w:val="0"/>
        <w:autoSpaceDN w:val="0"/>
        <w:adjustRightInd w:val="0"/>
        <w:spacing w:before="9" w:line="276" w:lineRule="auto"/>
        <w:ind w:firstLine="141" w:firstLineChars="50"/>
        <w:jc w:val="center"/>
        <w:rPr>
          <w:rFonts w:ascii="宋体" w:hAnsi="宋体"/>
          <w:b/>
          <w:kern w:val="0"/>
          <w:sz w:val="28"/>
          <w:szCs w:val="28"/>
        </w:rPr>
      </w:pPr>
      <w:r>
        <w:rPr>
          <w:rFonts w:hint="eastAsia" w:ascii="宋体" w:hAnsi="宋体" w:cs="微软雅黑"/>
          <w:b/>
          <w:kern w:val="0"/>
          <w:sz w:val="28"/>
          <w:szCs w:val="28"/>
        </w:rPr>
        <w:t>评标分值构成与评分标准表</w:t>
      </w:r>
    </w:p>
    <w:tbl>
      <w:tblPr>
        <w:tblStyle w:val="19"/>
        <w:tblW w:w="9671" w:type="dxa"/>
        <w:tblInd w:w="115" w:type="dxa"/>
        <w:tblLayout w:type="fixed"/>
        <w:tblCellMar>
          <w:top w:w="0" w:type="dxa"/>
          <w:left w:w="0" w:type="dxa"/>
          <w:bottom w:w="0" w:type="dxa"/>
          <w:right w:w="0" w:type="dxa"/>
        </w:tblCellMar>
      </w:tblPr>
      <w:tblGrid>
        <w:gridCol w:w="1308"/>
        <w:gridCol w:w="1559"/>
        <w:gridCol w:w="6804"/>
      </w:tblGrid>
      <w:tr>
        <w:tblPrEx>
          <w:tblCellMar>
            <w:top w:w="0" w:type="dxa"/>
            <w:left w:w="0" w:type="dxa"/>
            <w:bottom w:w="0" w:type="dxa"/>
            <w:right w:w="0" w:type="dxa"/>
          </w:tblCellMar>
        </w:tblPrEx>
        <w:trPr>
          <w:trHeight w:val="353" w:hRule="exact"/>
        </w:trPr>
        <w:tc>
          <w:tcPr>
            <w:tcW w:w="1308" w:type="dxa"/>
            <w:tcBorders>
              <w:top w:val="single" w:color="000000" w:sz="4" w:space="0"/>
              <w:left w:val="single" w:color="000000" w:sz="4" w:space="0"/>
              <w:bottom w:val="single" w:color="auto" w:sz="4" w:space="0"/>
              <w:right w:val="single" w:color="000000" w:sz="4" w:space="0"/>
            </w:tcBorders>
          </w:tcPr>
          <w:p>
            <w:pPr>
              <w:autoSpaceDE w:val="0"/>
              <w:autoSpaceDN w:val="0"/>
              <w:adjustRightInd w:val="0"/>
              <w:spacing w:line="360" w:lineRule="auto"/>
              <w:ind w:left="652" w:right="634"/>
              <w:jc w:val="center"/>
              <w:rPr>
                <w:rFonts w:ascii="宋体" w:hAnsi="宋体"/>
                <w:kern w:val="0"/>
                <w:szCs w:val="21"/>
              </w:rPr>
            </w:pPr>
          </w:p>
        </w:tc>
        <w:tc>
          <w:tcPr>
            <w:tcW w:w="1559" w:type="dxa"/>
            <w:tcBorders>
              <w:top w:val="single" w:color="000000" w:sz="4" w:space="0"/>
              <w:left w:val="single" w:color="000000" w:sz="4" w:space="0"/>
              <w:bottom w:val="single" w:color="auto" w:sz="4" w:space="0"/>
              <w:right w:val="single" w:color="000000" w:sz="4" w:space="0"/>
            </w:tcBorders>
          </w:tcPr>
          <w:p>
            <w:pPr>
              <w:autoSpaceDE w:val="0"/>
              <w:autoSpaceDN w:val="0"/>
              <w:adjustRightInd w:val="0"/>
              <w:spacing w:line="360" w:lineRule="auto"/>
              <w:ind w:left="283" w:right="-20"/>
              <w:jc w:val="left"/>
              <w:rPr>
                <w:rFonts w:ascii="宋体" w:hAnsi="宋体"/>
                <w:kern w:val="0"/>
                <w:szCs w:val="21"/>
              </w:rPr>
            </w:pPr>
            <w:r>
              <w:rPr>
                <w:rFonts w:hint="eastAsia" w:ascii="宋体" w:hAnsi="宋体" w:cs="微软雅黑"/>
                <w:kern w:val="0"/>
                <w:szCs w:val="21"/>
              </w:rPr>
              <w:t>评分因素</w:t>
            </w:r>
          </w:p>
        </w:tc>
        <w:tc>
          <w:tcPr>
            <w:tcW w:w="680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ind w:left="1876" w:right="1857"/>
              <w:jc w:val="center"/>
              <w:rPr>
                <w:rFonts w:ascii="宋体" w:hAnsi="宋体"/>
                <w:kern w:val="0"/>
                <w:szCs w:val="21"/>
              </w:rPr>
            </w:pPr>
            <w:r>
              <w:rPr>
                <w:rFonts w:hint="eastAsia" w:ascii="宋体" w:hAnsi="宋体" w:cs="微软雅黑"/>
                <w:kern w:val="0"/>
                <w:szCs w:val="21"/>
              </w:rPr>
              <w:t>评分标准</w:t>
            </w:r>
          </w:p>
        </w:tc>
      </w:tr>
      <w:tr>
        <w:tblPrEx>
          <w:tblCellMar>
            <w:top w:w="0" w:type="dxa"/>
            <w:left w:w="0" w:type="dxa"/>
            <w:bottom w:w="0" w:type="dxa"/>
            <w:right w:w="0" w:type="dxa"/>
          </w:tblCellMar>
        </w:tblPrEx>
        <w:trPr>
          <w:trHeight w:val="786" w:hRule="exact"/>
        </w:trPr>
        <w:tc>
          <w:tcPr>
            <w:tcW w:w="1308"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auto"/>
              <w:ind w:left="2082" w:right="2063"/>
              <w:jc w:val="center"/>
              <w:rPr>
                <w:rFonts w:ascii="宋体" w:hAnsi="宋体"/>
                <w:kern w:val="0"/>
                <w:szCs w:val="21"/>
              </w:rPr>
            </w:pPr>
          </w:p>
          <w:p>
            <w:pPr>
              <w:autoSpaceDE w:val="0"/>
              <w:autoSpaceDN w:val="0"/>
              <w:adjustRightInd w:val="0"/>
              <w:spacing w:line="360" w:lineRule="auto"/>
              <w:ind w:left="345" w:right="60" w:hanging="209"/>
              <w:rPr>
                <w:szCs w:val="21"/>
              </w:rPr>
            </w:pPr>
            <w:r>
              <w:rPr>
                <w:rFonts w:hint="eastAsia"/>
                <w:szCs w:val="21"/>
              </w:rPr>
              <w:t>技术评分标准</w:t>
            </w:r>
            <w:r>
              <w:rPr>
                <w:szCs w:val="21"/>
              </w:rPr>
              <w:t>70</w:t>
            </w:r>
            <w:r>
              <w:rPr>
                <w:rFonts w:hint="eastAsia"/>
                <w:szCs w:val="21"/>
              </w:rPr>
              <w:t>分</w:t>
            </w:r>
          </w:p>
          <w:p>
            <w:pPr>
              <w:pStyle w:val="10"/>
              <w:spacing w:line="360" w:lineRule="auto"/>
              <w:jc w:val="center"/>
              <w:rPr>
                <w:rFonts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ascii="宋体" w:hAnsi="宋体" w:cs="微软雅黑"/>
                <w:kern w:val="0"/>
                <w:szCs w:val="21"/>
              </w:rPr>
            </w:pPr>
            <w:r>
              <w:rPr>
                <w:rFonts w:hint="eastAsia" w:ascii="宋体" w:hAnsi="宋体" w:cs="微软雅黑"/>
                <w:kern w:val="0"/>
                <w:szCs w:val="21"/>
              </w:rPr>
              <w:t>类似项目业绩</w:t>
            </w:r>
          </w:p>
          <w:p>
            <w:pPr>
              <w:autoSpaceDE w:val="0"/>
              <w:autoSpaceDN w:val="0"/>
              <w:adjustRightInd w:val="0"/>
              <w:spacing w:line="360" w:lineRule="auto"/>
              <w:ind w:right="-20"/>
              <w:jc w:val="center"/>
              <w:rPr>
                <w:rFonts w:ascii="宋体" w:hAnsi="宋体"/>
                <w:kern w:val="0"/>
                <w:szCs w:val="21"/>
              </w:rPr>
            </w:pPr>
            <w:r>
              <w:rPr>
                <w:rFonts w:hint="eastAsia" w:ascii="宋体" w:hAnsi="宋体" w:cs="微软雅黑"/>
                <w:kern w:val="0"/>
                <w:szCs w:val="21"/>
              </w:rPr>
              <w:t>(2分)</w:t>
            </w:r>
          </w:p>
        </w:tc>
        <w:tc>
          <w:tcPr>
            <w:tcW w:w="6804" w:type="dxa"/>
            <w:tcBorders>
              <w:top w:val="single" w:color="000000" w:sz="4" w:space="0"/>
              <w:left w:val="single" w:color="auto" w:sz="4" w:space="0"/>
              <w:bottom w:val="single" w:color="000000" w:sz="4" w:space="0"/>
              <w:right w:val="single" w:color="000000" w:sz="4" w:space="0"/>
            </w:tcBorders>
          </w:tcPr>
          <w:p>
            <w:pPr>
              <w:adjustRightInd w:val="0"/>
              <w:snapToGrid w:val="0"/>
              <w:spacing w:line="360" w:lineRule="auto"/>
              <w:ind w:right="-10" w:firstLine="367" w:firstLineChars="175"/>
              <w:jc w:val="left"/>
              <w:rPr>
                <w:rFonts w:ascii="宋体" w:hAnsi="宋体"/>
                <w:szCs w:val="21"/>
              </w:rPr>
            </w:pPr>
            <w:r>
              <w:rPr>
                <w:rFonts w:hint="eastAsia" w:ascii="宋体" w:hAnsi="宋体"/>
                <w:szCs w:val="21"/>
              </w:rPr>
              <w:t>投标人在2018年1月1日以来（机械通风、环流熏蒸低温空调)</w:t>
            </w:r>
            <w:r>
              <w:rPr>
                <w:rFonts w:hint="eastAsia"/>
              </w:rPr>
              <w:t xml:space="preserve"> </w:t>
            </w:r>
            <w:r>
              <w:rPr>
                <w:rFonts w:hint="eastAsia" w:ascii="宋体" w:hAnsi="宋体"/>
                <w:szCs w:val="21"/>
              </w:rPr>
              <w:t>业绩合同,</w:t>
            </w:r>
            <w:r>
              <w:rPr>
                <w:rFonts w:hint="eastAsia" w:ascii="宋体" w:hAnsi="宋体" w:cs="宋体"/>
                <w:color w:val="000000"/>
                <w:kern w:val="0"/>
                <w:szCs w:val="21"/>
              </w:rPr>
              <w:t xml:space="preserve"> 计2分。</w:t>
            </w:r>
            <w:r>
              <w:rPr>
                <w:rFonts w:hint="eastAsia" w:ascii="宋体" w:hAnsi="宋体"/>
                <w:szCs w:val="21"/>
              </w:rPr>
              <w:t>有一个得1分, 没有不得分。</w:t>
            </w:r>
          </w:p>
        </w:tc>
      </w:tr>
      <w:tr>
        <w:tblPrEx>
          <w:tblCellMar>
            <w:top w:w="0" w:type="dxa"/>
            <w:left w:w="0" w:type="dxa"/>
            <w:bottom w:w="0" w:type="dxa"/>
            <w:right w:w="0" w:type="dxa"/>
          </w:tblCellMar>
        </w:tblPrEx>
        <w:trPr>
          <w:trHeight w:val="695" w:hRule="atLeast"/>
        </w:trPr>
        <w:tc>
          <w:tcPr>
            <w:tcW w:w="130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rFonts w:hAnsi="宋体"/>
                <w:spacing w:val="-2"/>
                <w:kern w:val="0"/>
              </w:rPr>
            </w:pPr>
            <w:r>
              <w:rPr>
                <w:rFonts w:hint="eastAsia" w:hAnsi="宋体"/>
                <w:spacing w:val="-2"/>
                <w:kern w:val="0"/>
              </w:rPr>
              <w:t xml:space="preserve">  </w:t>
            </w:r>
            <w:r>
              <w:rPr>
                <w:rFonts w:hint="eastAsia" w:hAnsi="宋体"/>
              </w:rPr>
              <w:t>专利、情况</w:t>
            </w:r>
          </w:p>
          <w:p>
            <w:pPr>
              <w:pStyle w:val="10"/>
              <w:spacing w:line="360" w:lineRule="auto"/>
              <w:jc w:val="center"/>
              <w:rPr>
                <w:rFonts w:hAnsi="宋体"/>
                <w:kern w:val="0"/>
              </w:rPr>
            </w:pPr>
            <w:r>
              <w:rPr>
                <w:rFonts w:hint="eastAsia" w:hAnsi="宋体"/>
                <w:kern w:val="0"/>
              </w:rPr>
              <w:t>(20分)</w:t>
            </w:r>
          </w:p>
        </w:tc>
        <w:tc>
          <w:tcPr>
            <w:tcW w:w="680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0" w:firstLine="367" w:firstLineChars="175"/>
              <w:jc w:val="left"/>
              <w:rPr>
                <w:rFonts w:ascii="宋体" w:hAnsi="宋体"/>
                <w:szCs w:val="21"/>
              </w:rPr>
            </w:pPr>
            <w:r>
              <w:rPr>
                <w:rFonts w:hint="eastAsia" w:ascii="宋体" w:hAnsi="宋体"/>
                <w:szCs w:val="21"/>
              </w:rPr>
              <w:t>★对须提供相关证书（含设计图片和简要说明 、国家知识官网查询截图（彩页、专利证书等），否则不予认同,</w:t>
            </w:r>
            <w:r>
              <w:rPr>
                <w:rFonts w:hint="eastAsia" w:ascii="宋体" w:hAnsi="宋体" w:cs="宋体"/>
                <w:color w:val="000000"/>
                <w:kern w:val="0"/>
                <w:szCs w:val="21"/>
              </w:rPr>
              <w:t>计20分。</w:t>
            </w:r>
            <w:r>
              <w:rPr>
                <w:rFonts w:hint="eastAsia" w:ascii="宋体" w:hAnsi="宋体"/>
                <w:szCs w:val="21"/>
              </w:rPr>
              <w:t>有一个得5分, 没有不得分。</w:t>
            </w:r>
          </w:p>
        </w:tc>
      </w:tr>
      <w:tr>
        <w:tblPrEx>
          <w:tblCellMar>
            <w:top w:w="0" w:type="dxa"/>
            <w:left w:w="0" w:type="dxa"/>
            <w:bottom w:w="0" w:type="dxa"/>
            <w:right w:w="0" w:type="dxa"/>
          </w:tblCellMar>
        </w:tblPrEx>
        <w:trPr>
          <w:trHeight w:val="1256" w:hRule="atLeast"/>
        </w:trPr>
        <w:tc>
          <w:tcPr>
            <w:tcW w:w="130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rFonts w:hAnsi="宋体" w:cs="Times New Roman"/>
                <w:spacing w:val="-2"/>
                <w:kern w:val="0"/>
              </w:rPr>
            </w:pPr>
            <w:r>
              <w:rPr>
                <w:rFonts w:hint="eastAsia" w:hAnsi="宋体"/>
              </w:rPr>
              <w:t>产品技术</w:t>
            </w:r>
            <w:r>
              <w:rPr>
                <w:rFonts w:hint="eastAsia" w:hAnsi="宋体"/>
                <w:spacing w:val="-2"/>
                <w:kern w:val="0"/>
              </w:rPr>
              <w:t>、质量</w:t>
            </w:r>
          </w:p>
          <w:p>
            <w:pPr>
              <w:pStyle w:val="10"/>
              <w:spacing w:line="360" w:lineRule="auto"/>
              <w:jc w:val="center"/>
              <w:rPr>
                <w:rFonts w:hAnsi="宋体"/>
                <w:spacing w:val="-2"/>
                <w:kern w:val="0"/>
              </w:rPr>
            </w:pPr>
            <w:r>
              <w:rPr>
                <w:rFonts w:hint="eastAsia" w:hAnsi="宋体"/>
                <w:spacing w:val="-2"/>
                <w:kern w:val="0"/>
              </w:rPr>
              <w:t>性能、配置</w:t>
            </w:r>
          </w:p>
          <w:p>
            <w:pPr>
              <w:pStyle w:val="10"/>
              <w:spacing w:line="360" w:lineRule="auto"/>
              <w:jc w:val="center"/>
              <w:rPr>
                <w:rFonts w:hAnsi="宋体"/>
                <w:spacing w:val="-2"/>
                <w:kern w:val="0"/>
              </w:rPr>
            </w:pPr>
            <w:r>
              <w:rPr>
                <w:rFonts w:hint="eastAsia" w:hAnsi="宋体"/>
                <w:spacing w:val="-2"/>
                <w:kern w:val="0"/>
              </w:rPr>
              <w:t>(8分)</w:t>
            </w:r>
          </w:p>
        </w:tc>
        <w:tc>
          <w:tcPr>
            <w:tcW w:w="680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0" w:firstLine="367" w:firstLineChars="175"/>
              <w:jc w:val="left"/>
              <w:rPr>
                <w:rFonts w:ascii="宋体" w:hAnsi="宋体"/>
                <w:szCs w:val="21"/>
              </w:rPr>
            </w:pPr>
            <w:r>
              <w:rPr>
                <w:rFonts w:hint="eastAsia" w:ascii="宋体" w:hAnsi="宋体"/>
                <w:szCs w:val="21"/>
              </w:rPr>
              <w:t>1.产品的功能和技术设计合理性。功能设计合理得4分,</w:t>
            </w:r>
            <w:r>
              <w:rPr>
                <w:rFonts w:hint="eastAsia" w:ascii="宋体" w:hAnsi="宋体" w:cs="宋体"/>
                <w:color w:val="000000"/>
                <w:kern w:val="0"/>
                <w:szCs w:val="21"/>
              </w:rPr>
              <w:t xml:space="preserve"> 欠合理的得2分,</w:t>
            </w:r>
            <w:r>
              <w:rPr>
                <w:rFonts w:hint="eastAsia"/>
              </w:rPr>
              <w:t xml:space="preserve"> </w:t>
            </w:r>
            <w:r>
              <w:rPr>
                <w:rFonts w:hint="eastAsia" w:ascii="宋体" w:hAnsi="宋体" w:cs="宋体"/>
                <w:color w:val="000000"/>
                <w:kern w:val="0"/>
                <w:szCs w:val="21"/>
              </w:rPr>
              <w:t>不合理不得分。</w:t>
            </w:r>
          </w:p>
          <w:p>
            <w:pPr>
              <w:adjustRightInd w:val="0"/>
              <w:snapToGrid w:val="0"/>
              <w:spacing w:line="360" w:lineRule="auto"/>
              <w:ind w:right="-10" w:firstLine="367" w:firstLineChars="175"/>
              <w:jc w:val="left"/>
              <w:rPr>
                <w:rFonts w:ascii="宋体" w:hAnsi="宋体"/>
                <w:szCs w:val="21"/>
              </w:rPr>
            </w:pPr>
            <w:r>
              <w:rPr>
                <w:rFonts w:hint="eastAsia" w:ascii="宋体" w:hAnsi="宋体"/>
                <w:szCs w:val="21"/>
              </w:rPr>
              <w:t>2.产品的技术、质量指标以及参数响应正偏离的数量。无偏离得4分,</w:t>
            </w:r>
          </w:p>
          <w:p>
            <w:pPr>
              <w:adjustRightInd w:val="0"/>
              <w:snapToGrid w:val="0"/>
              <w:spacing w:line="360" w:lineRule="auto"/>
              <w:ind w:right="-10" w:firstLine="367" w:firstLineChars="175"/>
              <w:jc w:val="left"/>
              <w:rPr>
                <w:rFonts w:ascii="宋体" w:hAnsi="宋体"/>
                <w:szCs w:val="21"/>
              </w:rPr>
            </w:pPr>
            <w:r>
              <w:rPr>
                <w:rFonts w:hint="eastAsia" w:ascii="宋体" w:hAnsi="宋体"/>
                <w:szCs w:val="21"/>
              </w:rPr>
              <w:t>负偏离有一个扣1分,</w:t>
            </w:r>
            <w:r>
              <w:rPr>
                <w:rFonts w:hint="eastAsia"/>
              </w:rPr>
              <w:t xml:space="preserve"> </w:t>
            </w:r>
            <w:r>
              <w:rPr>
                <w:rFonts w:hint="eastAsia" w:ascii="宋体" w:hAnsi="宋体" w:cs="宋体"/>
                <w:color w:val="000000"/>
                <w:kern w:val="0"/>
                <w:szCs w:val="21"/>
              </w:rPr>
              <w:t>扣完为止。</w:t>
            </w:r>
          </w:p>
        </w:tc>
      </w:tr>
      <w:tr>
        <w:tblPrEx>
          <w:tblCellMar>
            <w:top w:w="0" w:type="dxa"/>
            <w:left w:w="0" w:type="dxa"/>
            <w:bottom w:w="0" w:type="dxa"/>
            <w:right w:w="0" w:type="dxa"/>
          </w:tblCellMar>
        </w:tblPrEx>
        <w:trPr>
          <w:trHeight w:val="1691" w:hRule="atLeast"/>
        </w:trPr>
        <w:tc>
          <w:tcPr>
            <w:tcW w:w="130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1559" w:type="dxa"/>
            <w:tcBorders>
              <w:top w:val="single" w:color="auto" w:sz="4" w:space="0"/>
              <w:left w:val="single" w:color="000000" w:sz="4" w:space="0"/>
              <w:bottom w:val="single" w:color="auto" w:sz="4" w:space="0"/>
              <w:right w:val="single" w:color="auto" w:sz="4" w:space="0"/>
            </w:tcBorders>
            <w:vAlign w:val="center"/>
          </w:tcPr>
          <w:p>
            <w:pPr>
              <w:autoSpaceDE w:val="0"/>
              <w:autoSpaceDN w:val="0"/>
              <w:adjustRightInd w:val="0"/>
              <w:spacing w:before="83" w:line="480" w:lineRule="auto"/>
              <w:ind w:right="334"/>
              <w:jc w:val="center"/>
              <w:rPr>
                <w:rFonts w:ascii="宋体" w:hAnsi="宋体" w:cs="宋体"/>
                <w:kern w:val="0"/>
                <w:szCs w:val="21"/>
              </w:rPr>
            </w:pPr>
            <w:r>
              <w:rPr>
                <w:rFonts w:hint="eastAsia" w:ascii="宋体" w:hAnsi="宋体" w:cs="宋体"/>
                <w:color w:val="000000"/>
                <w:kern w:val="0"/>
                <w:szCs w:val="21"/>
              </w:rPr>
              <w:t>施工组织方案</w:t>
            </w:r>
            <w:r>
              <w:rPr>
                <w:rFonts w:hint="eastAsia" w:ascii="宋体" w:hAnsi="宋体" w:cs="宋体"/>
                <w:szCs w:val="21"/>
              </w:rPr>
              <w:t>（20分）</w:t>
            </w:r>
          </w:p>
        </w:tc>
        <w:tc>
          <w:tcPr>
            <w:tcW w:w="6804" w:type="dxa"/>
            <w:tcBorders>
              <w:top w:val="single" w:color="auto" w:sz="4" w:space="0"/>
              <w:left w:val="single" w:color="auto" w:sz="4" w:space="0"/>
              <w:bottom w:val="single" w:color="000000" w:sz="4" w:space="0"/>
              <w:right w:val="single" w:color="000000" w:sz="4" w:space="0"/>
            </w:tcBorders>
          </w:tcPr>
          <w:p>
            <w:pPr>
              <w:adjustRightInd w:val="0"/>
              <w:snapToGrid w:val="0"/>
              <w:spacing w:line="360" w:lineRule="auto"/>
              <w:ind w:left="840" w:right="-10" w:hanging="840" w:hangingChars="400"/>
              <w:jc w:val="left"/>
              <w:rPr>
                <w:rFonts w:ascii="宋体" w:hAnsi="宋体" w:cs="宋体"/>
                <w:color w:val="000000"/>
                <w:kern w:val="0"/>
                <w:szCs w:val="21"/>
              </w:rPr>
            </w:pPr>
            <w:r>
              <w:rPr>
                <w:rFonts w:hint="eastAsia" w:ascii="宋体" w:hAnsi="宋体" w:cs="宋体"/>
                <w:color w:val="000000"/>
                <w:kern w:val="0"/>
                <w:szCs w:val="21"/>
              </w:rPr>
              <w:t xml:space="preserve">   投标人应提供针对本项目的生产、运输、安装三方面编制施工组织方</w:t>
            </w:r>
          </w:p>
          <w:p>
            <w:pPr>
              <w:adjustRightInd w:val="0"/>
              <w:snapToGrid w:val="0"/>
              <w:spacing w:line="360" w:lineRule="auto"/>
              <w:ind w:left="840" w:right="-10" w:hanging="840" w:hangingChars="400"/>
              <w:jc w:val="left"/>
              <w:rPr>
                <w:rFonts w:ascii="宋体" w:hAnsi="宋体" w:cs="宋体"/>
                <w:color w:val="000000"/>
                <w:kern w:val="0"/>
                <w:szCs w:val="21"/>
              </w:rPr>
            </w:pPr>
            <w:r>
              <w:rPr>
                <w:rFonts w:hint="eastAsia" w:ascii="宋体" w:hAnsi="宋体" w:cs="宋体"/>
                <w:color w:val="000000"/>
                <w:kern w:val="0"/>
                <w:szCs w:val="21"/>
              </w:rPr>
              <w:t>案：方案设计及人员配备、安排合理 ；建设进度计划及保证措施合理；</w:t>
            </w:r>
          </w:p>
          <w:p>
            <w:pPr>
              <w:adjustRightInd w:val="0"/>
              <w:snapToGrid w:val="0"/>
              <w:spacing w:line="360" w:lineRule="auto"/>
              <w:ind w:left="840" w:right="-10" w:hanging="840" w:hangingChars="400"/>
              <w:jc w:val="left"/>
              <w:rPr>
                <w:rFonts w:ascii="宋体" w:hAnsi="宋体" w:cs="宋体"/>
                <w:color w:val="000000"/>
                <w:kern w:val="0"/>
                <w:szCs w:val="21"/>
              </w:rPr>
            </w:pPr>
            <w:r>
              <w:rPr>
                <w:rFonts w:hint="eastAsia" w:ascii="宋体" w:hAnsi="宋体" w:cs="宋体"/>
                <w:color w:val="000000"/>
                <w:kern w:val="0"/>
                <w:szCs w:val="21"/>
              </w:rPr>
              <w:t>安装调试程序合理、措施得当；质量保证。</w:t>
            </w:r>
            <w:r>
              <w:rPr>
                <w:rFonts w:hint="eastAsia" w:ascii="宋体" w:hAnsi="宋体"/>
                <w:szCs w:val="21"/>
              </w:rPr>
              <w:t>注：</w:t>
            </w:r>
            <w:r>
              <w:rPr>
                <w:rFonts w:hint="eastAsia" w:ascii="宋体" w:hAnsi="宋体" w:cs="宋体"/>
                <w:color w:val="000000"/>
                <w:kern w:val="0"/>
                <w:szCs w:val="21"/>
              </w:rPr>
              <w:t>措施合理的，</w:t>
            </w:r>
            <w:bookmarkStart w:id="16" w:name="OLE_LINK3"/>
            <w:bookmarkStart w:id="17" w:name="OLE_LINK4"/>
            <w:r>
              <w:rPr>
                <w:rFonts w:hint="eastAsia" w:ascii="宋体" w:hAnsi="宋体" w:cs="宋体"/>
                <w:color w:val="000000"/>
                <w:kern w:val="0"/>
                <w:szCs w:val="21"/>
              </w:rPr>
              <w:t>计20分。</w:t>
            </w:r>
            <w:bookmarkEnd w:id="16"/>
            <w:bookmarkEnd w:id="17"/>
          </w:p>
          <w:p>
            <w:pPr>
              <w:adjustRightInd w:val="0"/>
              <w:snapToGrid w:val="0"/>
              <w:spacing w:line="360" w:lineRule="auto"/>
              <w:ind w:left="840" w:right="-10" w:hanging="840" w:hangingChars="400"/>
              <w:jc w:val="left"/>
              <w:rPr>
                <w:rFonts w:ascii="宋体" w:hAnsi="宋体"/>
                <w:szCs w:val="21"/>
              </w:rPr>
            </w:pPr>
            <w:r>
              <w:rPr>
                <w:rFonts w:hint="eastAsia" w:ascii="宋体" w:hAnsi="宋体" w:cs="宋体"/>
                <w:color w:val="000000"/>
                <w:kern w:val="0"/>
                <w:szCs w:val="21"/>
              </w:rPr>
              <w:t>有缺漏项，</w:t>
            </w:r>
            <w:bookmarkStart w:id="18" w:name="OLE_LINK2"/>
            <w:bookmarkStart w:id="19" w:name="OLE_LINK1"/>
            <w:r>
              <w:rPr>
                <w:rFonts w:hint="eastAsia" w:ascii="宋体" w:hAnsi="宋体" w:cs="宋体"/>
                <w:color w:val="000000"/>
                <w:kern w:val="0"/>
                <w:szCs w:val="21"/>
              </w:rPr>
              <w:t>欠合理的</w:t>
            </w:r>
            <w:bookmarkEnd w:id="18"/>
            <w:bookmarkEnd w:id="19"/>
            <w:r>
              <w:rPr>
                <w:rFonts w:hint="eastAsia" w:ascii="宋体" w:hAnsi="宋体" w:cs="宋体"/>
                <w:color w:val="000000"/>
                <w:kern w:val="0"/>
                <w:szCs w:val="21"/>
              </w:rPr>
              <w:t>，每处扣5分，扣完为止。</w:t>
            </w:r>
          </w:p>
        </w:tc>
      </w:tr>
      <w:tr>
        <w:tblPrEx>
          <w:tblCellMar>
            <w:top w:w="0" w:type="dxa"/>
            <w:left w:w="0" w:type="dxa"/>
            <w:bottom w:w="0" w:type="dxa"/>
            <w:right w:w="0" w:type="dxa"/>
          </w:tblCellMar>
        </w:tblPrEx>
        <w:trPr>
          <w:trHeight w:val="1691" w:hRule="atLeast"/>
        </w:trPr>
        <w:tc>
          <w:tcPr>
            <w:tcW w:w="13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559" w:type="dxa"/>
            <w:tcBorders>
              <w:top w:val="single" w:color="auto" w:sz="4" w:space="0"/>
              <w:left w:val="single" w:color="000000" w:sz="4" w:space="0"/>
              <w:bottom w:val="single" w:color="auto" w:sz="4" w:space="0"/>
              <w:right w:val="single" w:color="auto" w:sz="4" w:space="0"/>
            </w:tcBorders>
            <w:vAlign w:val="center"/>
          </w:tcPr>
          <w:p>
            <w:pPr>
              <w:spacing w:line="480" w:lineRule="auto"/>
              <w:ind w:firstLine="420"/>
              <w:rPr>
                <w:rFonts w:ascii="宋体" w:hAnsi="宋体" w:cs="宋体"/>
                <w:szCs w:val="21"/>
              </w:rPr>
            </w:pPr>
            <w:r>
              <w:rPr>
                <w:rFonts w:hint="eastAsia" w:ascii="宋体" w:hAnsi="宋体" w:cs="宋体"/>
                <w:color w:val="000000"/>
                <w:kern w:val="0"/>
                <w:szCs w:val="21"/>
              </w:rPr>
              <w:t>完善的售后服务体系， 科学合理的维保方案</w:t>
            </w:r>
            <w:r>
              <w:rPr>
                <w:rFonts w:hint="eastAsia" w:ascii="宋体" w:hAnsi="宋体" w:cs="宋体"/>
                <w:szCs w:val="21"/>
              </w:rPr>
              <w:t>（20分）</w:t>
            </w:r>
          </w:p>
        </w:tc>
        <w:tc>
          <w:tcPr>
            <w:tcW w:w="6804" w:type="dxa"/>
            <w:tcBorders>
              <w:top w:val="single" w:color="auto" w:sz="4" w:space="0"/>
              <w:left w:val="single" w:color="auto" w:sz="4" w:space="0"/>
              <w:bottom w:val="single" w:color="auto" w:sz="4" w:space="0"/>
              <w:right w:val="single" w:color="000000" w:sz="4" w:space="0"/>
            </w:tcBorders>
          </w:tcPr>
          <w:p>
            <w:pPr>
              <w:adjustRightInd w:val="0"/>
              <w:snapToGrid w:val="0"/>
              <w:spacing w:line="360" w:lineRule="auto"/>
              <w:ind w:right="-10" w:firstLine="315" w:firstLineChars="150"/>
              <w:jc w:val="left"/>
              <w:rPr>
                <w:rFonts w:ascii="宋体" w:hAnsi="宋体"/>
                <w:szCs w:val="21"/>
              </w:rPr>
            </w:pPr>
            <w:r>
              <w:rPr>
                <w:rFonts w:hint="eastAsia" w:ascii="宋体" w:hAnsi="宋体" w:cs="宋体"/>
                <w:color w:val="000000"/>
                <w:kern w:val="0"/>
                <w:szCs w:val="21"/>
              </w:rPr>
              <w:t>投标人应提供针对本项目</w:t>
            </w:r>
            <w:r>
              <w:rPr>
                <w:rFonts w:hint="eastAsia" w:ascii="宋体" w:hAnsi="宋体" w:cs="宋体"/>
                <w:szCs w:val="21"/>
              </w:rPr>
              <w:t>售后服务方案（包括：故障响应机制、问题解决机制、保修承诺、培训和技术人员保障等）依据响应速度，并保证响应时间，承诺时间内到达现场解决问题、保修内容全面、详尽、合理到位的</w:t>
            </w:r>
            <w:bookmarkStart w:id="20" w:name="OLE_LINK6"/>
            <w:bookmarkStart w:id="21" w:name="OLE_LINK5"/>
            <w:r>
              <w:rPr>
                <w:rFonts w:hint="eastAsia" w:ascii="宋体" w:hAnsi="宋体" w:cs="宋体"/>
                <w:szCs w:val="21"/>
              </w:rPr>
              <w:t>得20分</w:t>
            </w:r>
            <w:bookmarkEnd w:id="20"/>
            <w:bookmarkEnd w:id="21"/>
            <w:r>
              <w:rPr>
                <w:rFonts w:hint="eastAsia" w:ascii="宋体" w:hAnsi="宋体" w:cs="宋体"/>
                <w:szCs w:val="21"/>
              </w:rPr>
              <w:t>，不全面、不详尽或者有一定瑕疵的，得10分；较差的得5分，缺项不得分。</w:t>
            </w:r>
          </w:p>
        </w:tc>
      </w:tr>
      <w:tr>
        <w:tblPrEx>
          <w:tblCellMar>
            <w:top w:w="0" w:type="dxa"/>
            <w:left w:w="0" w:type="dxa"/>
            <w:bottom w:w="0" w:type="dxa"/>
            <w:right w:w="0" w:type="dxa"/>
          </w:tblCellMar>
        </w:tblPrEx>
        <w:trPr>
          <w:trHeight w:val="2930" w:hRule="atLeast"/>
        </w:trPr>
        <w:tc>
          <w:tcPr>
            <w:tcW w:w="13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3" w:line="442" w:lineRule="exact"/>
              <w:ind w:left="136" w:right="60"/>
              <w:jc w:val="center"/>
              <w:rPr>
                <w:rFonts w:ascii="宋体" w:hAnsi="宋体"/>
                <w:kern w:val="0"/>
                <w:szCs w:val="21"/>
              </w:rPr>
            </w:pPr>
            <w:r>
              <w:rPr>
                <w:rFonts w:hint="eastAsia" w:ascii="宋体" w:hAnsi="宋体" w:cs="微软雅黑"/>
                <w:kern w:val="0"/>
                <w:szCs w:val="21"/>
              </w:rPr>
              <w:t>投标</w:t>
            </w:r>
            <w:r>
              <w:rPr>
                <w:rFonts w:hint="eastAsia" w:ascii="宋体" w:hAnsi="宋体" w:cs="微软雅黑"/>
                <w:spacing w:val="-2"/>
                <w:kern w:val="0"/>
                <w:szCs w:val="21"/>
              </w:rPr>
              <w:t>报</w:t>
            </w:r>
            <w:r>
              <w:rPr>
                <w:rFonts w:hint="eastAsia" w:ascii="宋体" w:hAnsi="宋体" w:cs="微软雅黑"/>
                <w:kern w:val="0"/>
                <w:szCs w:val="21"/>
              </w:rPr>
              <w:t>价 评分</w:t>
            </w:r>
            <w:r>
              <w:rPr>
                <w:rFonts w:hint="eastAsia" w:ascii="宋体" w:hAnsi="宋体" w:cs="微软雅黑"/>
                <w:spacing w:val="-2"/>
                <w:kern w:val="0"/>
                <w:szCs w:val="21"/>
              </w:rPr>
              <w:t>标</w:t>
            </w:r>
            <w:r>
              <w:rPr>
                <w:rFonts w:hint="eastAsia" w:ascii="宋体" w:hAnsi="宋体" w:cs="微软雅黑"/>
                <w:kern w:val="0"/>
                <w:szCs w:val="21"/>
              </w:rPr>
              <w:t>准30分</w:t>
            </w:r>
          </w:p>
        </w:tc>
        <w:tc>
          <w:tcPr>
            <w:tcW w:w="1559" w:type="dxa"/>
            <w:tcBorders>
              <w:top w:val="single" w:color="auto" w:sz="4" w:space="0"/>
              <w:left w:val="single" w:color="auto" w:sz="4" w:space="0"/>
              <w:bottom w:val="single" w:color="auto" w:sz="4" w:space="0"/>
              <w:right w:val="single" w:color="auto" w:sz="4" w:space="0"/>
            </w:tcBorders>
            <w:vAlign w:val="center"/>
          </w:tcPr>
          <w:p>
            <w:pPr>
              <w:pStyle w:val="10"/>
              <w:spacing w:line="480" w:lineRule="auto"/>
              <w:jc w:val="center"/>
              <w:rPr>
                <w:rFonts w:hAnsi="宋体" w:cs="Times New Roman"/>
                <w:kern w:val="0"/>
              </w:rPr>
            </w:pPr>
            <w:r>
              <w:rPr>
                <w:rFonts w:hint="eastAsia" w:hAnsi="宋体"/>
                <w:kern w:val="0"/>
              </w:rPr>
              <w:t>投标报价得分</w:t>
            </w:r>
          </w:p>
          <w:p>
            <w:pPr>
              <w:pStyle w:val="10"/>
              <w:spacing w:line="480" w:lineRule="auto"/>
              <w:jc w:val="center"/>
              <w:rPr>
                <w:rFonts w:hAnsi="宋体"/>
                <w:kern w:val="0"/>
              </w:rPr>
            </w:pPr>
            <w:r>
              <w:rPr>
                <w:rFonts w:hint="eastAsia" w:hAnsi="宋体"/>
                <w:kern w:val="0"/>
              </w:rPr>
              <w:t>（0-30分）</w:t>
            </w:r>
          </w:p>
        </w:tc>
        <w:tc>
          <w:tcPr>
            <w:tcW w:w="6804" w:type="dxa"/>
            <w:tcBorders>
              <w:top w:val="single" w:color="auto" w:sz="4" w:space="0"/>
              <w:left w:val="single" w:color="auto" w:sz="4" w:space="0"/>
              <w:bottom w:val="single" w:color="auto" w:sz="4" w:space="0"/>
              <w:right w:val="single" w:color="auto" w:sz="4" w:space="0"/>
            </w:tcBorders>
          </w:tcPr>
          <w:p>
            <w:pPr>
              <w:pStyle w:val="54"/>
              <w:spacing w:line="360" w:lineRule="auto"/>
              <w:rPr>
                <w:rFonts w:ascii="宋体" w:hAnsi="宋体"/>
                <w:sz w:val="21"/>
                <w:szCs w:val="21"/>
              </w:rPr>
            </w:pPr>
            <w:r>
              <w:rPr>
                <w:rFonts w:hint="eastAsia" w:ascii="宋体" w:hAnsi="宋体"/>
                <w:szCs w:val="21"/>
              </w:rPr>
              <w:t>（</w:t>
            </w:r>
            <w:r>
              <w:rPr>
                <w:rFonts w:hint="eastAsia" w:ascii="宋体" w:hAnsi="宋体"/>
                <w:sz w:val="21"/>
                <w:szCs w:val="21"/>
              </w:rPr>
              <w:t>1）当有效投标人数量＞5家时：评标基准价=去掉一个有效投标人最高投标报价、去掉一个有效投标人最低投标报价后的算术平均值。</w:t>
            </w:r>
          </w:p>
          <w:p>
            <w:pPr>
              <w:pStyle w:val="54"/>
              <w:spacing w:line="360" w:lineRule="auto"/>
              <w:rPr>
                <w:rFonts w:ascii="宋体" w:hAnsi="宋体"/>
                <w:sz w:val="21"/>
                <w:szCs w:val="21"/>
              </w:rPr>
            </w:pPr>
            <w:r>
              <w:rPr>
                <w:rFonts w:hint="eastAsia" w:ascii="宋体" w:hAnsi="宋体"/>
                <w:sz w:val="21"/>
                <w:szCs w:val="21"/>
              </w:rPr>
              <w:t>（2）当有效投标人数量≤5家时：评标基准价=所有有效投标人投标报价的算术平均值。其他供应商的价格分统一按下列公示计算：</w:t>
            </w:r>
          </w:p>
          <w:p>
            <w:pPr>
              <w:pStyle w:val="54"/>
              <w:spacing w:line="360" w:lineRule="auto"/>
              <w:rPr>
                <w:rFonts w:ascii="宋体" w:hAnsi="宋体"/>
                <w:sz w:val="21"/>
                <w:szCs w:val="21"/>
              </w:rPr>
            </w:pPr>
            <w:r>
              <w:rPr>
                <w:rFonts w:hint="eastAsia" w:ascii="宋体" w:hAnsi="宋体"/>
                <w:sz w:val="21"/>
                <w:szCs w:val="21"/>
              </w:rPr>
              <w:t>投标报价得分=30-︱1-投标报价/评标基准价︳</w:t>
            </w:r>
          </w:p>
          <w:p>
            <w:pPr>
              <w:adjustRightInd w:val="0"/>
              <w:snapToGrid w:val="0"/>
              <w:spacing w:line="360" w:lineRule="auto"/>
              <w:ind w:right="-10" w:firstLine="367" w:firstLineChars="175"/>
              <w:jc w:val="left"/>
              <w:rPr>
                <w:rFonts w:ascii="宋体" w:hAnsi="宋体"/>
                <w:szCs w:val="21"/>
              </w:rPr>
            </w:pPr>
          </w:p>
        </w:tc>
      </w:tr>
    </w:tbl>
    <w:p>
      <w:pPr>
        <w:autoSpaceDE w:val="0"/>
        <w:autoSpaceDN w:val="0"/>
        <w:adjustRightInd w:val="0"/>
        <w:spacing w:before="9" w:line="276" w:lineRule="auto"/>
        <w:ind w:firstLine="141" w:firstLineChars="50"/>
        <w:jc w:val="center"/>
        <w:rPr>
          <w:rFonts w:ascii="宋体" w:hAnsi="宋体"/>
          <w:b/>
          <w:kern w:val="0"/>
          <w:sz w:val="28"/>
          <w:szCs w:val="28"/>
        </w:rPr>
      </w:pPr>
    </w:p>
    <w:p>
      <w:pPr>
        <w:spacing w:line="560" w:lineRule="exact"/>
        <w:jc w:val="left"/>
        <w:rPr>
          <w:rFonts w:ascii="宋体" w:hAnsi="宋体" w:eastAsia="宋体" w:cs="Times New Roman"/>
          <w:szCs w:val="21"/>
        </w:rPr>
      </w:pPr>
      <w:r>
        <w:rPr>
          <w:rFonts w:hint="eastAsia" w:ascii="宋体" w:hAnsi="宋体" w:eastAsia="宋体" w:cs="Times New Roman"/>
          <w:szCs w:val="21"/>
        </w:rPr>
        <w:t>评审委员会成员签名：    年   月   日</w:t>
      </w:r>
    </w:p>
    <w:p>
      <w:pPr>
        <w:spacing w:line="560" w:lineRule="exact"/>
        <w:rPr>
          <w:rFonts w:ascii="宋体" w:hAnsi="宋体"/>
          <w:sz w:val="28"/>
          <w:szCs w:val="28"/>
        </w:rPr>
      </w:pPr>
    </w:p>
    <w:p>
      <w:pPr>
        <w:spacing w:line="360" w:lineRule="auto"/>
        <w:rPr>
          <w:rFonts w:cs="Times New Roman" w:asciiTheme="minorEastAsia" w:hAnsiTheme="minorEastAsia"/>
          <w:kern w:val="0"/>
          <w:sz w:val="24"/>
          <w:szCs w:val="24"/>
        </w:rPr>
        <w:sectPr>
          <w:pgSz w:w="11906" w:h="16838"/>
          <w:pgMar w:top="1440" w:right="1440" w:bottom="1440" w:left="1440" w:header="851" w:footer="992" w:gutter="0"/>
          <w:cols w:space="425" w:num="1"/>
          <w:docGrid w:linePitch="579" w:charSpace="-1844"/>
        </w:sectPr>
      </w:pP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4.评审委员会评审程序</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(1)审阅谈判文件。重点审查谈判文件供应商须知中无效投标条款、采购项目技术和商务要求、资格性和符合性审查要求、评标方法和标准细则以及采购合同主要条款等规定要求。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(2)资格性审查。依据法律、法规和谈判文件的规定，对响应文件中的资格证明、谈判保证金等进行审查，以确定供应商是否具备投标资格，具体审查项目见表。</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(3)符合性审查。依据谈判文件的规定，从响应文件的有效性、完整性和对谈判文件的响应程度进行审查，以确定供应商是否对谈判文件做出实质性响应，具体审查项目见表1。</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解释与澄清。对响应文件中含义不明确、同类问题表述不一致或者有明显文字和计算错误的内容，评审委员会可以要求供应商以书面形式做出澄清、说明或者补正，但不能超出响应文件的范围或者改变响应文件的实质性内容（包括投标报价、质量标准、交货期限等主要内容），并由法定代表人或授权代表签字。下列内容不得澄清：</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①开标时未宣读的投标价格、价格折扣和谈判文件允许提供的备选投标方案等实质内容；</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②响应文件中不响应谈判文件规定的技术参数指标和商务应答；</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③响应文件中未提供的证明其是否符合谈判文件资格性、符合性规定要求的相关材料。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供应商解释澄清出场顺序，按照递交响应文件的倒序进行。供应商澄清材料确认，供应商为法人的，应当由其法定代表人或者授权代表签字确认；供应商为其他组织的，应当由其主要负责人或者全权代表签字确认。有效的澄清材料，是响应文件的组成部分；澄清不影响响应文件的效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评审过程中，评审委员会认为谈判文件有关事项表述不明确或者需要说明的，可以要求采购人书面解释。采购人应当给予书面解释，但不得改变谈判文件的原义或者影响公平、公正评审。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w:t>
      </w:r>
      <w:r>
        <w:rPr>
          <w:rFonts w:cs="Times New Roman" w:asciiTheme="minorEastAsia" w:hAnsiTheme="minorEastAsia"/>
          <w:kern w:val="0"/>
          <w:sz w:val="24"/>
          <w:szCs w:val="24"/>
        </w:rPr>
        <w:t>5</w:t>
      </w:r>
      <w:r>
        <w:rPr>
          <w:rFonts w:hint="eastAsia" w:cs="Times New Roman" w:asciiTheme="minorEastAsia" w:hAnsiTheme="minorEastAsia"/>
          <w:kern w:val="0"/>
          <w:sz w:val="24"/>
          <w:szCs w:val="24"/>
        </w:rPr>
        <w:t>)商务、技术评审。按照谈判文件中规定的评标方法和标准，对资格性审查和符合性审查合格的响应文件（不含价格文件）进行商务和技术评审。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技术、商务评委应当独立评审。其中，技术评委只能按照技术评审标准进行技术评分，商务评委只能按照商务评审标准进行商务评分。独立评审前，评审委员会成员不得集体商议、沟通、协调，技术、商务评审方面存有歧义的除外。</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w:t>
      </w:r>
      <w:r>
        <w:rPr>
          <w:rFonts w:cs="Times New Roman" w:asciiTheme="minorEastAsia" w:hAnsiTheme="minorEastAsia"/>
          <w:kern w:val="0"/>
          <w:sz w:val="24"/>
          <w:szCs w:val="24"/>
        </w:rPr>
        <w:t>6</w:t>
      </w:r>
      <w:r>
        <w:rPr>
          <w:rFonts w:hint="eastAsia" w:cs="Times New Roman" w:asciiTheme="minorEastAsia" w:hAnsiTheme="minorEastAsia"/>
          <w:kern w:val="0"/>
          <w:sz w:val="24"/>
          <w:szCs w:val="24"/>
        </w:rPr>
        <w:t>)价格评审。待商务、技术评审结束后，工作人员再将价格文件交评审委员会评审。存在低价恶意竞争的，由评审委员会全体成员按前款（六）投标报价有关要求认定；不存在低价恶意竞争的，由商务评委依据评审方法和评审标准对价格文件进行评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w:t>
      </w:r>
      <w:r>
        <w:rPr>
          <w:rFonts w:cs="Times New Roman" w:asciiTheme="minorEastAsia" w:hAnsiTheme="minorEastAsia"/>
          <w:kern w:val="0"/>
          <w:sz w:val="24"/>
          <w:szCs w:val="24"/>
        </w:rPr>
        <w:t>7</w:t>
      </w:r>
      <w:r>
        <w:rPr>
          <w:rFonts w:hint="eastAsia" w:cs="Times New Roman" w:asciiTheme="minorEastAsia" w:hAnsiTheme="minorEastAsia"/>
          <w:kern w:val="0"/>
          <w:sz w:val="24"/>
          <w:szCs w:val="24"/>
        </w:rPr>
        <w:t>)复核评审情况。评审委员会对评审过程资料和文件逐一进行复核。对排名前3名的预成交人、报价最高且预中标的、报价最低未预中标的、超预算以及响应文件被认定为无效的、废标的和终止评审等情形，进行重点复核、分析原因，并在评标报告中注明。</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w:t>
      </w:r>
      <w:r>
        <w:rPr>
          <w:rFonts w:cs="Times New Roman" w:asciiTheme="minorEastAsia" w:hAnsiTheme="minorEastAsia"/>
          <w:kern w:val="0"/>
          <w:sz w:val="24"/>
          <w:szCs w:val="24"/>
        </w:rPr>
        <w:t>8</w:t>
      </w:r>
      <w:r>
        <w:rPr>
          <w:rFonts w:hint="eastAsia" w:cs="Times New Roman" w:asciiTheme="minorEastAsia" w:hAnsiTheme="minorEastAsia"/>
          <w:kern w:val="0"/>
          <w:sz w:val="24"/>
          <w:szCs w:val="24"/>
        </w:rPr>
        <w:t>)评审委员会依据经过复核的评审结果，对供应商进行排序并推荐预成交人。</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w:t>
      </w:r>
      <w:r>
        <w:rPr>
          <w:rFonts w:cs="Times New Roman" w:asciiTheme="minorEastAsia" w:hAnsiTheme="minorEastAsia"/>
          <w:kern w:val="0"/>
          <w:sz w:val="24"/>
          <w:szCs w:val="24"/>
        </w:rPr>
        <w:t>9</w:t>
      </w:r>
      <w:r>
        <w:rPr>
          <w:rFonts w:hint="eastAsia" w:cs="Times New Roman" w:asciiTheme="minorEastAsia" w:hAnsiTheme="minorEastAsia"/>
          <w:kern w:val="0"/>
          <w:sz w:val="24"/>
          <w:szCs w:val="24"/>
        </w:rPr>
        <w:t>)出具评审报告。评审委员会根据全体成员签字的原始评标记录和评审结果编写评标报告。评标报告主要内容由评审委员会全体成员逐页签字确认。评审委员会成员对需要共同认定的事项存在争议的，按照少数服从多数的原则做出结论。持不同意见的评审委员会成员应当在评标报告上签署不同意见并说明理由；只签字未写明不同意见或者只写明不同意见未说明理由的，视为无意见；不签字的，不影响评标报告的有效性。评标报告应当包括下列主要内容：</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①开标日期和地点；</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②获取谈判文件供应商名单、供应商名单和评审委员会成员名单；</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③评标方法；</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④开标记录和评标情况及说明，包括无效供应商名单及原因；</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⑤评标结果和候选成交人排序、报价汇总表，以及推荐候选成交人的理由，尤其是报价最高且预中标的、报价最低未预中标的情形，超预算以及响应文件被认定为无效的、废标的和终止评审等情形，评审委员会应当进行重点复核、分析原因，并在评标报告中注明。</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⑥评审委员会授标建议。</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0</w:t>
      </w:r>
      <w:r>
        <w:rPr>
          <w:rFonts w:hint="eastAsia" w:cs="Times New Roman" w:asciiTheme="minorEastAsia" w:hAnsiTheme="minorEastAsia"/>
          <w:kern w:val="0"/>
          <w:sz w:val="24"/>
          <w:szCs w:val="24"/>
        </w:rPr>
        <w:t>)宣布评标结果。评标结果由评审委员会主任在评标现场向参与采购活动的供应商当场公布，且不得更改。公布的内容至少应包含预成交人名称、排序和投标报价，以及无效供应商名称和无效投标理由。供应商对评标结果有疑义的，评审委员会应当现场予以解答。</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5.评审委员会对响应文件密封、签署、盖章等进行审查过程中，有下列情形，但其他方面符合要求，应当评定为不影响整个响应文件有效性和采购活动公平竞争，并通过响应文件的符合性审查：</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(1)密封时未加盖、少加盖单位公章或者密封章，但是密封完好、完整标明了投标供应商名称且得到投标供应商（法定代表人或者授权代表）现场认可的；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hint="eastAsia" w:asciiTheme="minorEastAsia" w:hAnsiTheme="minorEastAsia"/>
          <w:kern w:val="0"/>
          <w:sz w:val="24"/>
          <w:szCs w:val="24"/>
        </w:rPr>
        <w:t xml:space="preserve"> 投标书、资格证明文件正副本数量齐全、密封完好，只是未按照谈判文件要求进行分装、统装的；价格文件内容完整、单独密封，只是未按谈判文件要求胶装成册的</w:t>
      </w:r>
      <w:r>
        <w:rPr>
          <w:rFonts w:hint="eastAsia"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(3)存在个别地方（总数不超过2个且占应签字地方的比例不超过20%）没有法定代表人签字，但有法定代表人的私人印章或者授权代表有效签字的；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(4)除谈判文件明确要求加盖供应商（法人）公章的以外，其他地方以相关专用章加盖的。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6.在商务评审过程中，有下列情形之一者，其投标将被否决：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(1)供应商或其制造商与采购人有利害关系可能影响招标公正性的；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(2)供应商参与项目前期咨询或谈判文件编制的；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(3)不同供应商单位负责人为同一人或者存在控股、管理关系的；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(4)响应文件未按谈判文件的要求签署的；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(5)投标联合体没有提交共同投标协议的；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(6)供应商的投标书、资格证明材料未提供，或不符合国家规定或者谈判文件要求的；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(7)同一供应商提交两个以上不同的投标方案或者投标报价的，但谈判文件要求提交备选方案的除外；</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(8)响应文件不满足谈判文件关键商务条款要求的；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(9)投标报价高于谈判文件设定的最高投标限价的；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(10)供应商有串通投标、弄虚作假、行贿等违法行为的；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(11)存在谈判文件中规定的否决投标的其他商务条款的。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7.技术评审过程中，有下列情形之一者，其投标将被否决：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(1)响应文件不满足谈判文件技术要求的关键条款（参数）要求，或关键条款（参数）无符合谈判文件要求的技术资料支持的；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(2)响应文件技术规格中一般参数超出允许偏离的最大范围或最多项数的；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(3)响应文件技术规格中的响应与事实不符或虚假投标的；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(4)供应商复制谈判文件的技术规格相关部分内容作为其响应文件中一部分的；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(5)存在谈判文件中规定的否决投标的其他技术条款的。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8.供应商及其响应文件有下列情形之一的，在符合性审查时按照无效投标处理：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(1)未按照谈判文件规定要求密封、签署、盖章的（前述第5条情形除外）；</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(2)响应文件组成明显不符合谈判文件的规定要求，影响评审委员会评判的；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(3)应交未交谈判保证金的或保证金金额不足的；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(4)投标有效期不符合谈判文件要求的；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(5)其他未满足对响应文件有效性、完整性和对谈判文件响应程度要求的情形。</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9.供应商及其响应文件有下列情形之一的，在资格性审查时按照无效投标处理：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(1)不具备谈判文件中规定的资格性要求的；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(2)法定代表人授权不符合要求的；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(3)属于禁止参加投标的供应商的；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(4)不符合法律、法规、规章规定的资格性要求的；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(5)供应商授权代理人参加省级以上政府采购活动，致使该供应商受到处罚期间，该代理人代理其他供应商参加采购活动的；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(6)代理人同期（180天以内）代理2家以上供应商参加我单位采购活动的。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10.有下列情形之一的，属于供应商相互串通投标，评审委员会应当对串标人按照无效投标处理：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(1)供应商之间协商投标报价等响应文件的实质性内容的；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(2)供应商之间约定成交人的；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(3)供应商之间约定部分供应商放弃投标或者中标的；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(4)属于同一集团、协会、商会等组织成员的供应商按照该组织要求协同投标的；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(5)供应商之间为谋取中标或者排斥特定供应商而采取其他联合行动的。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11.有下列情形之一的，视为供应商相互串通投标，评审委员会应当对串标人按照无效投标处理：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(1)不同供应商的响应文件由同一单位或者个人编制的；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(2)不同供应商委托同一单位或者个人办理投标事宜的；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(3)不同供应商的响应文件载明的项目管理成员为同一人的；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(4)不同供应商的响应文件异常一致或者投标报价呈规律性差异的；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(5)不同供应商的响应文件相互混装的；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(6)不同供应商的谈判保证金从同一单位或者个人的账户转出的。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12.有下列情形之一的，属于采购人与供应商串通投标，评审委员会应当对串标供应商按照无效投标处理：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(1)采购人在开标前开启响应文件并将有关信息泄露给其他供应商的；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(2)采购人直接或者间接向供应商泄露采购预算、评审委员会成员等信息的；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(3)采购人明示或者暗示供应商压低或者抬高投标报价的；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(4)采购人授意供应商撤换、修改响应文件的；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(5)采购人明示或者暗示供应商为特定供应商中标提供方便的；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(6)采购人与供应商为谋求特定供应商中标而采取其他串通行为的。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13.有下列情形之一的，属于虚假投标，评审委员会应当对供应商按照无效投标处理：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(1)使用通过受让或者租借等方式获取资格、资质证书投标的；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(2)使用伪造、变造的许可证件的；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(3)提供虚假的财务状况或者业绩的；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(4)提供虚假的项目负责人或者主要技术人员简历、劳动关系证明的；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(5)提供虚假信用状况的；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(6)提供虚假样品或借用、冒用其他供应商样品的；</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w:t>
      </w:r>
      <w:r>
        <w:rPr>
          <w:rFonts w:hint="eastAsia" w:cs="Times New Roman" w:asciiTheme="minorEastAsia" w:hAnsiTheme="minorEastAsia"/>
          <w:kern w:val="0"/>
          <w:sz w:val="24"/>
          <w:szCs w:val="24"/>
        </w:rPr>
        <w:t>7</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其他弄虚作假行为的。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14.有下列情形之一的，按照废标处理：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(1)出现影响采购公平公正的违法、违规行为的；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(2)因重大变故，取消采购任务的。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15.开标后对下列情况，采购人以及评审委员会按照《政府采购法》相关规定处理。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(1)经评审满足谈判文件要求的投标供应商只有2家的，评审委员会应当分析原因。评审委员会（五分之四以上评委）认定供应商报价客观合理的，应当在评标报告中注明，</w:t>
      </w:r>
      <w:r>
        <w:rPr>
          <w:rFonts w:hint="eastAsia" w:asciiTheme="minorEastAsia" w:hAnsiTheme="minorEastAsia"/>
          <w:kern w:val="0"/>
          <w:sz w:val="24"/>
          <w:szCs w:val="24"/>
        </w:rPr>
        <w:t>采购机构报采购管理部门审批同意后，可直接比照竞争性竞价方式</w:t>
      </w:r>
      <w:r>
        <w:rPr>
          <w:rFonts w:hint="eastAsia" w:cs="Times New Roman" w:asciiTheme="minorEastAsia" w:hAnsiTheme="minorEastAsia"/>
          <w:kern w:val="0"/>
          <w:sz w:val="24"/>
          <w:szCs w:val="24"/>
        </w:rPr>
        <w:t>，按照至少2轮谈判、供应商3次报价程序，采用原评审方法及评审标准组织评审。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(2)经评审满足谈判文件要求的供应商只有1家时，评审委员会（五分之四以上评委）认定供应商满足单一来源条件的，应当在评标报告中注明；无其他供应商响应时，报采购管理部门申请变更采购方式。</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评审委员会（五分之四以上评委）认定采购项目技术指标参数、采购预算编制等方面存在问题，或者认定采购竞争不够充分的，应当予以废标，并在评标报告中注明；采购人应当报采购管理部门处理或者重新组织招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供应商报价均超采购预算的，评审委员会应当分析原因；一般情况下视为需求部门（单位）不能支付，应当予以废标。评审委员会（五分之四以上评委）认定供应商报价客观合理的，可以继续评审，并出具评标报告。</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(5)部分供应商报价超采购预算的，应当继续进行评审。第一中标候选供应商报价未超采购预算的，评审结果有效；第一中标候选供应商超采购预算的，报采购管理部门处理，应当在评标报告中注明。</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(6)同一需求部门（单位）同一经费来源的同类物资，部分产品单价或者金额超采购预算，但中标总金额未超采购预算的，不视为需求部门（单位）不能支付。</w:t>
      </w:r>
    </w:p>
    <w:p>
      <w:pPr>
        <w:spacing w:line="360" w:lineRule="auto"/>
        <w:ind w:firstLine="480" w:firstLineChars="200"/>
        <w:rPr>
          <w:rFonts w:cs="Times New Roman" w:asciiTheme="minorEastAsia" w:hAnsiTheme="minorEastAsia"/>
          <w:kern w:val="0"/>
          <w:sz w:val="24"/>
          <w:szCs w:val="24"/>
        </w:rPr>
        <w:sectPr>
          <w:pgSz w:w="11906" w:h="16838"/>
          <w:pgMar w:top="1440" w:right="1440" w:bottom="1440" w:left="1440" w:header="851" w:footer="992" w:gutter="0"/>
          <w:cols w:space="425" w:num="1"/>
          <w:docGrid w:linePitch="579" w:charSpace="-1844"/>
        </w:sectPr>
      </w:pPr>
      <w:r>
        <w:rPr>
          <w:rFonts w:hint="eastAsia" w:cs="Times New Roman" w:asciiTheme="minorEastAsia" w:hAnsiTheme="minorEastAsia"/>
          <w:kern w:val="0"/>
          <w:sz w:val="24"/>
          <w:szCs w:val="24"/>
        </w:rPr>
        <w:t>16.经评审委员会评审，认为所有投标都不符合谈判文件要求的，评审委员会将否决所有投标，采购人有权重新组织招标。</w:t>
      </w:r>
    </w:p>
    <w:p>
      <w:pPr>
        <w:spacing w:line="360" w:lineRule="auto"/>
        <w:jc w:val="center"/>
        <w:rPr>
          <w:rFonts w:cs="Times New Roman" w:asciiTheme="minorEastAsia" w:hAnsiTheme="minorEastAsia"/>
          <w:b/>
          <w:kern w:val="0"/>
          <w:sz w:val="28"/>
          <w:szCs w:val="28"/>
        </w:rPr>
      </w:pPr>
      <w:r>
        <w:rPr>
          <w:rFonts w:hint="eastAsia" w:cs="Times New Roman" w:asciiTheme="minorEastAsia" w:hAnsiTheme="minorEastAsia"/>
          <w:b/>
          <w:kern w:val="0"/>
          <w:sz w:val="28"/>
          <w:szCs w:val="28"/>
        </w:rPr>
        <w:t>六、</w:t>
      </w:r>
      <w:r>
        <w:rPr>
          <w:rFonts w:cs="Times New Roman" w:asciiTheme="minorEastAsia" w:hAnsiTheme="minorEastAsia"/>
          <w:b/>
          <w:kern w:val="0"/>
          <w:sz w:val="28"/>
          <w:szCs w:val="28"/>
        </w:rPr>
        <w:t>质疑与投诉</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（二）质疑由采购人设立的质疑处理机构受理，投诉由采购代理机构受理。供应商投诉事项应当是经过质疑的事项，未质疑的事项，投诉不予受理。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（三）采购人</w:t>
      </w:r>
      <w:r>
        <w:rPr>
          <w:rFonts w:cs="Times New Roman" w:asciiTheme="minorEastAsia" w:hAnsiTheme="minorEastAsia"/>
          <w:kern w:val="0"/>
          <w:sz w:val="24"/>
          <w:szCs w:val="24"/>
        </w:rPr>
        <w:t>质疑</w:t>
      </w:r>
      <w:r>
        <w:rPr>
          <w:rFonts w:hint="eastAsia" w:cs="Times New Roman" w:asciiTheme="minorEastAsia" w:hAnsiTheme="minorEastAsia"/>
          <w:kern w:val="0"/>
          <w:sz w:val="24"/>
          <w:szCs w:val="24"/>
        </w:rPr>
        <w:t>处理机构</w:t>
      </w:r>
      <w:r>
        <w:rPr>
          <w:rFonts w:cs="Times New Roman" w:asciiTheme="minorEastAsia" w:hAnsiTheme="minorEastAsia"/>
          <w:kern w:val="0"/>
          <w:sz w:val="24"/>
          <w:szCs w:val="24"/>
        </w:rPr>
        <w:t>联系方式</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联系人：</w:t>
      </w:r>
      <w:r>
        <w:rPr>
          <w:rFonts w:hint="eastAsia" w:cs="Times New Roman" w:asciiTheme="minorEastAsia" w:hAnsiTheme="minorEastAsia"/>
          <w:kern w:val="0"/>
          <w:sz w:val="24"/>
          <w:szCs w:val="24"/>
        </w:rPr>
        <w:t>张工</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电话：</w:t>
      </w:r>
      <w:r>
        <w:rPr>
          <w:rFonts w:hint="eastAsia" w:cs="Times New Roman" w:asciiTheme="minorEastAsia" w:hAnsiTheme="minorEastAsia"/>
          <w:kern w:val="0"/>
          <w:sz w:val="24"/>
          <w:szCs w:val="24"/>
        </w:rPr>
        <w:t>15956584622</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地址：</w:t>
      </w:r>
      <w:r>
        <w:rPr>
          <w:rFonts w:hint="eastAsia" w:ascii="宋体" w:hAnsi="宋体"/>
          <w:szCs w:val="21"/>
        </w:rPr>
        <w:t>合肥市望江东路金中环C座1608-09室</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邮编：</w:t>
      </w:r>
      <w:r>
        <w:rPr>
          <w:rFonts w:hint="eastAsia" w:cs="Times New Roman" w:asciiTheme="minorEastAsia" w:hAnsiTheme="minorEastAsia"/>
          <w:kern w:val="0"/>
          <w:sz w:val="24"/>
          <w:szCs w:val="24"/>
        </w:rPr>
        <w:t>230001</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（四）供应商认为谈判文件存在限制性、倾向性、排他性条款，使自己权益受到损害的，可以在投标截止时间10日前向采购人设立的质疑处理机构提出书面质疑和相关证明材料。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（五）供应商</w:t>
      </w:r>
      <w:r>
        <w:rPr>
          <w:rFonts w:cs="Times New Roman" w:asciiTheme="minorEastAsia" w:hAnsiTheme="minorEastAsia"/>
          <w:kern w:val="0"/>
          <w:sz w:val="24"/>
          <w:szCs w:val="24"/>
        </w:rPr>
        <w:t>认为下列事项使自己权益受到损害的，</w:t>
      </w:r>
      <w:r>
        <w:rPr>
          <w:rFonts w:hint="eastAsia" w:cs="Times New Roman" w:asciiTheme="minorEastAsia" w:hAnsiTheme="minorEastAsia"/>
          <w:kern w:val="0"/>
          <w:sz w:val="24"/>
          <w:szCs w:val="24"/>
        </w:rPr>
        <w:t>可以</w:t>
      </w:r>
      <w:r>
        <w:rPr>
          <w:rFonts w:cs="Times New Roman" w:asciiTheme="minorEastAsia" w:hAnsiTheme="minorEastAsia"/>
          <w:kern w:val="0"/>
          <w:sz w:val="24"/>
          <w:szCs w:val="24"/>
        </w:rPr>
        <w:t>在评审结果公示期内，向</w:t>
      </w:r>
      <w:r>
        <w:rPr>
          <w:rFonts w:hint="eastAsia" w:cs="Times New Roman" w:asciiTheme="minorEastAsia" w:hAnsiTheme="minorEastAsia"/>
          <w:kern w:val="0"/>
          <w:sz w:val="24"/>
          <w:szCs w:val="24"/>
        </w:rPr>
        <w:t>采购人设立的质疑处理机构</w:t>
      </w:r>
      <w:r>
        <w:rPr>
          <w:rFonts w:cs="Times New Roman" w:asciiTheme="minorEastAsia" w:hAnsiTheme="minorEastAsia"/>
          <w:kern w:val="0"/>
          <w:sz w:val="24"/>
          <w:szCs w:val="24"/>
        </w:rPr>
        <w:t>提出书面质疑</w:t>
      </w:r>
      <w:r>
        <w:rPr>
          <w:rFonts w:hint="eastAsia" w:cs="Times New Roman" w:asciiTheme="minorEastAsia" w:hAnsiTheme="minorEastAsia"/>
          <w:kern w:val="0"/>
          <w:sz w:val="24"/>
          <w:szCs w:val="24"/>
        </w:rPr>
        <w:t>和相关证明材料：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1.采购人</w:t>
      </w:r>
      <w:r>
        <w:rPr>
          <w:rFonts w:cs="Times New Roman" w:asciiTheme="minorEastAsia" w:hAnsiTheme="minorEastAsia"/>
          <w:kern w:val="0"/>
          <w:sz w:val="24"/>
          <w:szCs w:val="24"/>
        </w:rPr>
        <w:t>或者相关人员与供应商有利害关系，应当回避而没有回避的；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采购程序违反采购相关规定的；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3.供应商</w:t>
      </w:r>
      <w:r>
        <w:rPr>
          <w:rFonts w:cs="Times New Roman" w:asciiTheme="minorEastAsia" w:hAnsiTheme="minorEastAsia"/>
          <w:kern w:val="0"/>
          <w:sz w:val="24"/>
          <w:szCs w:val="24"/>
        </w:rPr>
        <w:t>之间</w:t>
      </w:r>
      <w:r>
        <w:rPr>
          <w:rFonts w:hint="eastAsia" w:cs="Times New Roman" w:asciiTheme="minorEastAsia" w:hAnsiTheme="minorEastAsia"/>
          <w:kern w:val="0"/>
          <w:sz w:val="24"/>
          <w:szCs w:val="24"/>
        </w:rPr>
        <w:t>或者采购人与供应商之间</w:t>
      </w:r>
      <w:r>
        <w:rPr>
          <w:rFonts w:cs="Times New Roman" w:asciiTheme="minorEastAsia" w:hAnsiTheme="minorEastAsia"/>
          <w:kern w:val="0"/>
          <w:sz w:val="24"/>
          <w:szCs w:val="24"/>
        </w:rPr>
        <w:t>存在串通行为的；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提供虚假资料</w:t>
      </w:r>
      <w:r>
        <w:rPr>
          <w:rFonts w:hint="eastAsia" w:cs="Times New Roman" w:asciiTheme="minorEastAsia" w:hAnsiTheme="minorEastAsia"/>
          <w:kern w:val="0"/>
          <w:sz w:val="24"/>
          <w:szCs w:val="24"/>
        </w:rPr>
        <w:t>骗取中标</w:t>
      </w:r>
      <w:r>
        <w:rPr>
          <w:rFonts w:cs="Times New Roman" w:asciiTheme="minorEastAsia" w:hAnsiTheme="minorEastAsia"/>
          <w:kern w:val="0"/>
          <w:sz w:val="24"/>
          <w:szCs w:val="24"/>
        </w:rPr>
        <w:t>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w:t>
      </w:r>
      <w:r>
        <w:rPr>
          <w:rFonts w:cs="Times New Roman" w:asciiTheme="minorEastAsia" w:hAnsiTheme="minorEastAsia"/>
          <w:kern w:val="0"/>
          <w:sz w:val="24"/>
          <w:szCs w:val="24"/>
        </w:rPr>
        <w:t>违反采购相关法律法规使自己权益受到损害的其他事项。</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（六）</w:t>
      </w:r>
      <w:r>
        <w:rPr>
          <w:rFonts w:cs="Times New Roman" w:asciiTheme="minorEastAsia" w:hAnsiTheme="minorEastAsia"/>
          <w:kern w:val="0"/>
          <w:sz w:val="24"/>
          <w:szCs w:val="24"/>
        </w:rPr>
        <w:t>书面质疑</w:t>
      </w:r>
      <w:r>
        <w:rPr>
          <w:rFonts w:hint="eastAsia" w:cs="Times New Roman" w:asciiTheme="minorEastAsia" w:hAnsiTheme="minorEastAsia"/>
          <w:kern w:val="0"/>
          <w:sz w:val="24"/>
          <w:szCs w:val="24"/>
        </w:rPr>
        <w:t>应</w:t>
      </w:r>
      <w:r>
        <w:rPr>
          <w:rFonts w:cs="Times New Roman" w:asciiTheme="minorEastAsia" w:hAnsiTheme="minorEastAsia"/>
          <w:kern w:val="0"/>
          <w:sz w:val="24"/>
          <w:szCs w:val="24"/>
        </w:rPr>
        <w:t>由法定代表人签字</w:t>
      </w:r>
      <w:r>
        <w:rPr>
          <w:rFonts w:hint="eastAsia" w:cs="Times New Roman" w:asciiTheme="minorEastAsia" w:hAnsiTheme="minorEastAsia"/>
          <w:kern w:val="0"/>
          <w:sz w:val="24"/>
          <w:szCs w:val="24"/>
        </w:rPr>
        <w:t>并</w:t>
      </w:r>
      <w:r>
        <w:rPr>
          <w:rFonts w:cs="Times New Roman" w:asciiTheme="minorEastAsia" w:hAnsiTheme="minorEastAsia"/>
          <w:kern w:val="0"/>
          <w:sz w:val="24"/>
          <w:szCs w:val="24"/>
        </w:rPr>
        <w:t>加盖单位公章，同时出具法定代表人资格证明书</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由</w:t>
      </w:r>
      <w:r>
        <w:rPr>
          <w:rFonts w:hint="eastAsia" w:cs="Times New Roman" w:asciiTheme="minorEastAsia" w:hAnsiTheme="minorEastAsia"/>
          <w:kern w:val="0"/>
          <w:sz w:val="24"/>
          <w:szCs w:val="24"/>
        </w:rPr>
        <w:t>全权代表</w:t>
      </w:r>
      <w:r>
        <w:rPr>
          <w:rFonts w:cs="Times New Roman" w:asciiTheme="minorEastAsia" w:hAnsiTheme="minorEastAsia"/>
          <w:kern w:val="0"/>
          <w:sz w:val="24"/>
          <w:szCs w:val="24"/>
        </w:rPr>
        <w:t>签字的，必须有法定代表人授权</w:t>
      </w:r>
      <w:r>
        <w:rPr>
          <w:rFonts w:hint="eastAsia" w:cs="Times New Roman" w:asciiTheme="minorEastAsia" w:hAnsiTheme="minorEastAsia"/>
          <w:kern w:val="0"/>
          <w:sz w:val="24"/>
          <w:szCs w:val="24"/>
        </w:rPr>
        <w:t>书和</w:t>
      </w:r>
      <w:r>
        <w:rPr>
          <w:rFonts w:cs="Times New Roman" w:asciiTheme="minorEastAsia" w:hAnsiTheme="minorEastAsia"/>
          <w:kern w:val="0"/>
          <w:sz w:val="24"/>
          <w:szCs w:val="24"/>
        </w:rPr>
        <w:t>法定代表人资格证明书</w:t>
      </w:r>
      <w:r>
        <w:rPr>
          <w:rFonts w:hint="eastAsia" w:cs="Times New Roman" w:asciiTheme="minorEastAsia" w:hAnsiTheme="minorEastAsia"/>
          <w:kern w:val="0"/>
          <w:sz w:val="24"/>
          <w:szCs w:val="24"/>
        </w:rPr>
        <w:t>，并</w:t>
      </w:r>
      <w:r>
        <w:rPr>
          <w:rFonts w:cs="Times New Roman" w:asciiTheme="minorEastAsia" w:hAnsiTheme="minorEastAsia"/>
          <w:kern w:val="0"/>
          <w:sz w:val="24"/>
          <w:szCs w:val="24"/>
        </w:rPr>
        <w:t>加盖单位公章</w:t>
      </w:r>
      <w:r>
        <w:rPr>
          <w:rFonts w:hint="eastAsia" w:cs="Times New Roman" w:asciiTheme="minorEastAsia" w:hAnsiTheme="minorEastAsia"/>
          <w:kern w:val="0"/>
          <w:sz w:val="24"/>
          <w:szCs w:val="24"/>
        </w:rPr>
        <w:t>。书面</w:t>
      </w:r>
      <w:r>
        <w:rPr>
          <w:rFonts w:cs="Times New Roman" w:asciiTheme="minorEastAsia" w:hAnsiTheme="minorEastAsia"/>
          <w:kern w:val="0"/>
          <w:sz w:val="24"/>
          <w:szCs w:val="24"/>
        </w:rPr>
        <w:t>质疑主要包括下列内容：</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1.质疑的采购项目名称和项目编号；</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质疑</w:t>
      </w:r>
      <w:r>
        <w:rPr>
          <w:rFonts w:hint="eastAsia" w:cs="Times New Roman" w:asciiTheme="minorEastAsia" w:hAnsiTheme="minorEastAsia"/>
          <w:kern w:val="0"/>
          <w:sz w:val="24"/>
          <w:szCs w:val="24"/>
        </w:rPr>
        <w:t>人</w:t>
      </w:r>
      <w:r>
        <w:rPr>
          <w:rFonts w:cs="Times New Roman" w:asciiTheme="minorEastAsia" w:hAnsiTheme="minorEastAsia"/>
          <w:kern w:val="0"/>
          <w:sz w:val="24"/>
          <w:szCs w:val="24"/>
        </w:rPr>
        <w:t>和被质疑人的名称，质疑人的地址、联系方式等；</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具体的质疑事项、事实依据及相关证明材料；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提起质疑的日期。</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（七）</w:t>
      </w:r>
      <w:r>
        <w:rPr>
          <w:rFonts w:cs="Times New Roman" w:asciiTheme="minorEastAsia" w:hAnsiTheme="minorEastAsia"/>
          <w:kern w:val="0"/>
          <w:sz w:val="24"/>
          <w:szCs w:val="24"/>
        </w:rPr>
        <w:t>质疑有以下情形之一的，</w:t>
      </w:r>
      <w:r>
        <w:rPr>
          <w:rFonts w:hint="eastAsia" w:cs="Times New Roman" w:asciiTheme="minorEastAsia" w:hAnsiTheme="minorEastAsia"/>
          <w:kern w:val="0"/>
          <w:sz w:val="24"/>
          <w:szCs w:val="24"/>
        </w:rPr>
        <w:t>质疑处理机构</w:t>
      </w:r>
      <w:r>
        <w:rPr>
          <w:rFonts w:cs="Times New Roman" w:asciiTheme="minorEastAsia" w:hAnsiTheme="minorEastAsia"/>
          <w:kern w:val="0"/>
          <w:sz w:val="24"/>
          <w:szCs w:val="24"/>
        </w:rPr>
        <w:t>不予受理：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1.未按规定程序和渠道提出质疑的；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超</w:t>
      </w:r>
      <w:r>
        <w:rPr>
          <w:rFonts w:hint="eastAsia" w:cs="Times New Roman" w:asciiTheme="minorEastAsia" w:hAnsiTheme="minorEastAsia"/>
          <w:kern w:val="0"/>
          <w:sz w:val="24"/>
          <w:szCs w:val="24"/>
        </w:rPr>
        <w:t>过</w:t>
      </w:r>
      <w:r>
        <w:rPr>
          <w:rFonts w:cs="Times New Roman" w:asciiTheme="minorEastAsia" w:hAnsiTheme="minorEastAsia"/>
          <w:kern w:val="0"/>
          <w:sz w:val="24"/>
          <w:szCs w:val="24"/>
        </w:rPr>
        <w:t>质疑限期</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3.书面</w:t>
      </w:r>
      <w:r>
        <w:rPr>
          <w:rFonts w:cs="Times New Roman" w:asciiTheme="minorEastAsia" w:hAnsiTheme="minorEastAsia"/>
          <w:kern w:val="0"/>
          <w:sz w:val="24"/>
          <w:szCs w:val="24"/>
        </w:rPr>
        <w:t>质疑的形式和内容不符合</w:t>
      </w:r>
      <w:r>
        <w:rPr>
          <w:rFonts w:hint="eastAsia" w:cs="Times New Roman" w:asciiTheme="minorEastAsia" w:hAnsiTheme="minorEastAsia"/>
          <w:kern w:val="0"/>
          <w:sz w:val="24"/>
          <w:szCs w:val="24"/>
        </w:rPr>
        <w:t>上述要求的</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提出的质疑事项已经明确答复的；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w:t>
      </w:r>
      <w:r>
        <w:rPr>
          <w:rFonts w:cs="Times New Roman" w:asciiTheme="minorEastAsia" w:hAnsiTheme="minorEastAsia"/>
          <w:kern w:val="0"/>
          <w:sz w:val="24"/>
          <w:szCs w:val="24"/>
        </w:rPr>
        <w:t>法律法规规定的其他不予受理的条件。</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（八）质疑处理机构</w:t>
      </w:r>
      <w:r>
        <w:rPr>
          <w:rFonts w:cs="Times New Roman" w:asciiTheme="minorEastAsia" w:hAnsiTheme="minorEastAsia"/>
          <w:kern w:val="0"/>
          <w:sz w:val="24"/>
          <w:szCs w:val="24"/>
        </w:rPr>
        <w:t>应当自质疑签收之日起</w:t>
      </w:r>
      <w:r>
        <w:rPr>
          <w:rFonts w:hint="eastAsia" w:cs="Times New Roman" w:asciiTheme="minorEastAsia" w:hAnsiTheme="minorEastAsia"/>
          <w:kern w:val="0"/>
          <w:sz w:val="24"/>
          <w:szCs w:val="24"/>
        </w:rPr>
        <w:t>7</w:t>
      </w:r>
      <w:r>
        <w:rPr>
          <w:rFonts w:cs="Times New Roman" w:asciiTheme="minorEastAsia" w:hAnsiTheme="minorEastAsia"/>
          <w:kern w:val="0"/>
          <w:sz w:val="24"/>
          <w:szCs w:val="24"/>
        </w:rPr>
        <w:t>个工作日内做出书面答复。答复内容同时通知与处理结果有关的供应商，但答复内容不得涉及供应商的商业秘密。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质疑处理机构</w:t>
      </w:r>
      <w:r>
        <w:rPr>
          <w:rFonts w:cs="Times New Roman" w:asciiTheme="minorEastAsia" w:hAnsiTheme="minorEastAsia"/>
          <w:kern w:val="0"/>
          <w:sz w:val="24"/>
          <w:szCs w:val="24"/>
        </w:rPr>
        <w:t>在作出书面答复之前，可以采取现场解答的方式向</w:t>
      </w:r>
      <w:r>
        <w:rPr>
          <w:rFonts w:hint="eastAsia" w:cs="Times New Roman" w:asciiTheme="minorEastAsia" w:hAnsiTheme="minorEastAsia"/>
          <w:kern w:val="0"/>
          <w:sz w:val="24"/>
          <w:szCs w:val="24"/>
        </w:rPr>
        <w:t>质疑人</w:t>
      </w:r>
      <w:r>
        <w:rPr>
          <w:rFonts w:cs="Times New Roman" w:asciiTheme="minorEastAsia" w:hAnsiTheme="minorEastAsia"/>
          <w:kern w:val="0"/>
          <w:sz w:val="24"/>
          <w:szCs w:val="24"/>
        </w:rPr>
        <w:t>通报初步处理结果。供应商认可处理结果的，可在出具书面申请后撤回质疑或者放弃质疑，</w:t>
      </w:r>
      <w:r>
        <w:rPr>
          <w:rFonts w:hint="eastAsia" w:cs="Times New Roman" w:asciiTheme="minorEastAsia" w:hAnsiTheme="minorEastAsia"/>
          <w:kern w:val="0"/>
          <w:sz w:val="24"/>
          <w:szCs w:val="24"/>
        </w:rPr>
        <w:t>质疑处理机构</w:t>
      </w:r>
      <w:r>
        <w:rPr>
          <w:rFonts w:cs="Times New Roman" w:asciiTheme="minorEastAsia" w:hAnsiTheme="minorEastAsia"/>
          <w:kern w:val="0"/>
          <w:sz w:val="24"/>
          <w:szCs w:val="24"/>
        </w:rPr>
        <w:t>不再进行书面答复。</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（九）供应商</w:t>
      </w:r>
      <w:r>
        <w:rPr>
          <w:rFonts w:cs="Times New Roman" w:asciiTheme="minorEastAsia" w:hAnsiTheme="minorEastAsia"/>
          <w:kern w:val="0"/>
          <w:sz w:val="24"/>
          <w:szCs w:val="24"/>
        </w:rPr>
        <w:t>质疑有下列情形之一的，视为无效质疑，</w:t>
      </w:r>
      <w:r>
        <w:rPr>
          <w:rFonts w:hint="eastAsia" w:cs="Times New Roman" w:asciiTheme="minorEastAsia" w:hAnsiTheme="minorEastAsia"/>
          <w:kern w:val="0"/>
          <w:sz w:val="24"/>
          <w:szCs w:val="24"/>
        </w:rPr>
        <w:t>质疑处理机构</w:t>
      </w:r>
      <w:r>
        <w:rPr>
          <w:rFonts w:cs="Times New Roman" w:asciiTheme="minorEastAsia" w:hAnsiTheme="minorEastAsia"/>
          <w:kern w:val="0"/>
          <w:sz w:val="24"/>
          <w:szCs w:val="24"/>
        </w:rPr>
        <w:t>应当驳回质疑：</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无具体的质疑事项，或者质疑事项缺乏事实和法律依据</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质疑内容涉及评审工作细节、其他供应商</w:t>
      </w:r>
      <w:r>
        <w:rPr>
          <w:rFonts w:hint="eastAsia" w:cs="Times New Roman" w:asciiTheme="minorEastAsia" w:hAnsiTheme="minorEastAsia"/>
          <w:kern w:val="0"/>
          <w:sz w:val="24"/>
          <w:szCs w:val="24"/>
        </w:rPr>
        <w:t>投标</w:t>
      </w:r>
      <w:r>
        <w:rPr>
          <w:rFonts w:cs="Times New Roman" w:asciiTheme="minorEastAsia" w:hAnsiTheme="minorEastAsia"/>
          <w:kern w:val="0"/>
          <w:sz w:val="24"/>
          <w:szCs w:val="24"/>
        </w:rPr>
        <w:t>资料等保密事项且无法提供信息的合法来源</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质疑已经处理并明确答复后，质疑人就同一事项再次提起质疑且未提供新的有效证据</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质疑处理机构</w:t>
      </w:r>
      <w:r>
        <w:rPr>
          <w:rFonts w:cs="Times New Roman" w:asciiTheme="minorEastAsia" w:hAnsiTheme="minorEastAsia"/>
          <w:kern w:val="0"/>
          <w:sz w:val="24"/>
          <w:szCs w:val="24"/>
        </w:rPr>
        <w:t>应当对供应商无效质疑情况记录存档</w:t>
      </w:r>
      <w:r>
        <w:rPr>
          <w:rFonts w:hint="eastAsia"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（十）供应商</w:t>
      </w:r>
      <w:r>
        <w:rPr>
          <w:rFonts w:cs="Times New Roman" w:asciiTheme="minorEastAsia" w:hAnsiTheme="minorEastAsia"/>
          <w:kern w:val="0"/>
          <w:sz w:val="24"/>
          <w:szCs w:val="24"/>
        </w:rPr>
        <w:t>进行虚假和恶意质疑，干扰</w:t>
      </w:r>
      <w:r>
        <w:rPr>
          <w:rFonts w:hint="eastAsia" w:cs="Times New Roman" w:asciiTheme="minorEastAsia" w:hAnsiTheme="minorEastAsia"/>
          <w:kern w:val="0"/>
          <w:sz w:val="24"/>
          <w:szCs w:val="24"/>
        </w:rPr>
        <w:t>本次</w:t>
      </w:r>
      <w:r>
        <w:rPr>
          <w:rFonts w:cs="Times New Roman" w:asciiTheme="minorEastAsia" w:hAnsiTheme="minorEastAsia"/>
          <w:kern w:val="0"/>
          <w:sz w:val="24"/>
          <w:szCs w:val="24"/>
        </w:rPr>
        <w:t>采购活动的，</w:t>
      </w:r>
      <w:r>
        <w:rPr>
          <w:rFonts w:hint="eastAsia" w:cs="Times New Roman" w:asciiTheme="minorEastAsia" w:hAnsiTheme="minorEastAsia"/>
          <w:kern w:val="0"/>
          <w:sz w:val="24"/>
          <w:szCs w:val="24"/>
        </w:rPr>
        <w:t>质疑处理机构可以报请上级采购管理部门作出处罚。</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（十一）</w:t>
      </w:r>
      <w:r>
        <w:rPr>
          <w:rFonts w:cs="Times New Roman" w:asciiTheme="minorEastAsia" w:hAnsiTheme="minorEastAsia"/>
          <w:kern w:val="0"/>
          <w:sz w:val="24"/>
          <w:szCs w:val="24"/>
        </w:rPr>
        <w:t>对</w:t>
      </w:r>
      <w:r>
        <w:rPr>
          <w:rFonts w:hint="eastAsia" w:cs="Times New Roman" w:asciiTheme="minorEastAsia" w:hAnsiTheme="minorEastAsia"/>
          <w:kern w:val="0"/>
          <w:sz w:val="24"/>
          <w:szCs w:val="24"/>
        </w:rPr>
        <w:t>质疑处理机构</w:t>
      </w:r>
      <w:r>
        <w:rPr>
          <w:rFonts w:cs="Times New Roman" w:asciiTheme="minorEastAsia" w:hAnsiTheme="minorEastAsia"/>
          <w:kern w:val="0"/>
          <w:sz w:val="24"/>
          <w:szCs w:val="24"/>
        </w:rPr>
        <w:t>的书面答复及处理结果不满意，</w:t>
      </w:r>
      <w:r>
        <w:rPr>
          <w:rFonts w:hint="eastAsia" w:cs="Times New Roman" w:asciiTheme="minorEastAsia" w:hAnsiTheme="minorEastAsia"/>
          <w:kern w:val="0"/>
          <w:sz w:val="24"/>
          <w:szCs w:val="24"/>
        </w:rPr>
        <w:t>或者质疑处理机构未答复以及未在规定期限内作出答复的，</w:t>
      </w:r>
      <w:r>
        <w:rPr>
          <w:rFonts w:cs="Times New Roman" w:asciiTheme="minorEastAsia" w:hAnsiTheme="minorEastAsia"/>
          <w:kern w:val="0"/>
          <w:sz w:val="24"/>
          <w:szCs w:val="24"/>
        </w:rPr>
        <w:t>质疑人可以在</w:t>
      </w:r>
      <w:r>
        <w:rPr>
          <w:rFonts w:hint="eastAsia" w:cs="Times New Roman" w:asciiTheme="minorEastAsia" w:hAnsiTheme="minorEastAsia"/>
          <w:kern w:val="0"/>
          <w:sz w:val="24"/>
          <w:szCs w:val="24"/>
        </w:rPr>
        <w:t>质疑</w:t>
      </w:r>
      <w:r>
        <w:rPr>
          <w:rFonts w:cs="Times New Roman" w:asciiTheme="minorEastAsia" w:hAnsiTheme="minorEastAsia"/>
          <w:kern w:val="0"/>
          <w:sz w:val="24"/>
          <w:szCs w:val="24"/>
        </w:rPr>
        <w:t>答复</w:t>
      </w:r>
      <w:r>
        <w:rPr>
          <w:rFonts w:hint="eastAsia" w:cs="Times New Roman" w:asciiTheme="minorEastAsia" w:hAnsiTheme="minorEastAsia"/>
          <w:kern w:val="0"/>
          <w:sz w:val="24"/>
          <w:szCs w:val="24"/>
        </w:rPr>
        <w:t>期满</w:t>
      </w:r>
      <w:r>
        <w:rPr>
          <w:rFonts w:cs="Times New Roman" w:asciiTheme="minorEastAsia" w:hAnsiTheme="minorEastAsia"/>
          <w:kern w:val="0"/>
          <w:sz w:val="24"/>
          <w:szCs w:val="24"/>
        </w:rPr>
        <w:t>之日起</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个工作日内，向</w:t>
      </w:r>
      <w:r>
        <w:rPr>
          <w:rFonts w:hint="eastAsia" w:cs="Times New Roman" w:asciiTheme="minorEastAsia" w:hAnsiTheme="minorEastAsia"/>
          <w:kern w:val="0"/>
          <w:sz w:val="24"/>
          <w:szCs w:val="24"/>
        </w:rPr>
        <w:t>招标单位纪检监察部门</w:t>
      </w:r>
      <w:r>
        <w:rPr>
          <w:rFonts w:cs="Times New Roman" w:asciiTheme="minorEastAsia" w:hAnsiTheme="minorEastAsia"/>
          <w:kern w:val="0"/>
          <w:sz w:val="24"/>
          <w:szCs w:val="24"/>
        </w:rPr>
        <w:t>提出投诉。</w:t>
      </w:r>
    </w:p>
    <w:p>
      <w:pPr>
        <w:spacing w:line="360" w:lineRule="auto"/>
        <w:jc w:val="center"/>
        <w:rPr>
          <w:rFonts w:cs="Times New Roman" w:asciiTheme="minorEastAsia" w:hAnsiTheme="minorEastAsia"/>
          <w:b/>
          <w:kern w:val="0"/>
          <w:sz w:val="28"/>
          <w:szCs w:val="28"/>
        </w:rPr>
      </w:pPr>
      <w:r>
        <w:rPr>
          <w:rFonts w:hint="eastAsia" w:cs="Times New Roman" w:asciiTheme="minorEastAsia" w:hAnsiTheme="minorEastAsia"/>
          <w:b/>
          <w:kern w:val="0"/>
          <w:sz w:val="28"/>
          <w:szCs w:val="28"/>
        </w:rPr>
        <w:t>七、定标</w:t>
      </w:r>
    </w:p>
    <w:p>
      <w:pPr>
        <w:spacing w:line="360" w:lineRule="auto"/>
        <w:jc w:val="center"/>
        <w:rPr>
          <w:rFonts w:ascii="Times New Roman" w:hAnsi="Times New Roman" w:eastAsia="黑体" w:cs="Times New Roman"/>
          <w:kern w:val="0"/>
          <w:sz w:val="28"/>
          <w:szCs w:val="28"/>
        </w:rPr>
      </w:pP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w:t>
      </w:r>
      <w:r>
        <w:rPr>
          <w:rFonts w:cs="Times New Roman" w:asciiTheme="minorEastAsia" w:hAnsiTheme="minorEastAsia"/>
          <w:kern w:val="0"/>
          <w:sz w:val="24"/>
          <w:szCs w:val="24"/>
        </w:rPr>
        <w:t>确定</w:t>
      </w:r>
      <w:r>
        <w:rPr>
          <w:rFonts w:hint="eastAsia" w:cs="Times New Roman" w:asciiTheme="minorEastAsia" w:hAnsiTheme="minorEastAsia"/>
          <w:kern w:val="0"/>
          <w:sz w:val="24"/>
          <w:szCs w:val="24"/>
        </w:rPr>
        <w:t>成交人</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评审结束后3个工作日内，采购人根据评审委员会提出的书面评标报告，在安徽省旅游集团网上公示评审结果，公示期为3个工作日。在公示期内无异议的，确定排名第一的供应商为招标项目成交人，对按中标比例确定成交人的采购项目，根据谈判文件确定的成交人数量，按照评审排序依次确定2家以上供应商为成交人；公示期内有异议的，按照本须知“质疑与投诉”规定的程序处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排名第一的预成交人有正当理由放弃中标（无正当理由放弃中标的，不予退还谈判保证金；情节严重的，限制后期参与我单位投标资格），或者因不可抗力不能履行合同，或者被查实存在影响评审结果等违法情形、不符合中标条件的，采购人可以按照评审排序结果依次确定其他预成交人为成交人，也可以重新招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2.采购人有权根据采购任务变更等实际情况调整中标数量。</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（二）中标</w:t>
      </w:r>
      <w:r>
        <w:rPr>
          <w:rFonts w:cs="Times New Roman" w:asciiTheme="minorEastAsia" w:hAnsiTheme="minorEastAsia"/>
          <w:kern w:val="0"/>
          <w:sz w:val="24"/>
          <w:szCs w:val="24"/>
        </w:rPr>
        <w:t>通知</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1.采购人在确定成交人后3个工作日内，以书面形式向成交人发出《中标通知书》，不再向未成交人发出《未中标通知书》。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2.《中标通知书》是签订合同草案的依据。若合同草案未获批准，采购人有权取消合同草案。</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中标</w:t>
      </w:r>
      <w:r>
        <w:rPr>
          <w:rFonts w:cs="Times New Roman" w:asciiTheme="minorEastAsia" w:hAnsiTheme="minorEastAsia"/>
          <w:kern w:val="0"/>
          <w:sz w:val="24"/>
          <w:szCs w:val="24"/>
        </w:rPr>
        <w:t>通知书》</w:t>
      </w:r>
      <w:r>
        <w:rPr>
          <w:rFonts w:hint="eastAsia" w:cs="Times New Roman" w:asciiTheme="minorEastAsia" w:hAnsiTheme="minorEastAsia"/>
          <w:kern w:val="0"/>
          <w:sz w:val="24"/>
          <w:szCs w:val="24"/>
        </w:rPr>
        <w:t>及签订的合同草案不能作为成交人启动生产或备货的依据，应待正式合同签订后再启动生产备货，否则，由此造成的后果由成交人自行承担。</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（三）中标服务费</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1.成交人须在与采购人签定正式合同前，向采购代理机构交纳中标服务费及</w:t>
      </w:r>
      <w:r>
        <w:rPr>
          <w:rFonts w:cs="Times New Roman" w:asciiTheme="minorEastAsia" w:hAnsiTheme="minorEastAsia"/>
          <w:kern w:val="0"/>
          <w:sz w:val="24"/>
          <w:szCs w:val="24"/>
        </w:rPr>
        <w:t>评审费用</w:t>
      </w:r>
      <w:r>
        <w:rPr>
          <w:rFonts w:hint="eastAsia"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2.中标服务费收取标准：按照原国家计委计价格[2002]1980号文规定收费标准收取。评审</w:t>
      </w:r>
      <w:r>
        <w:rPr>
          <w:rFonts w:cs="Times New Roman" w:asciiTheme="minorEastAsia" w:hAnsiTheme="minorEastAsia"/>
          <w:kern w:val="0"/>
          <w:sz w:val="24"/>
          <w:szCs w:val="24"/>
        </w:rPr>
        <w:t>费用按实际发生费用支付。</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3.中标服务费只能以银行转账方式支付。</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4.成交人未按上述规定缴纳中标服务费的，采购人将不予退还谈判保证金，且采购人有权取消其中标资格和拒签合同。</w:t>
      </w:r>
    </w:p>
    <w:p>
      <w:pPr>
        <w:spacing w:line="360" w:lineRule="auto"/>
        <w:ind w:firstLine="640" w:firstLineChars="200"/>
        <w:rPr>
          <w:rFonts w:ascii="仿宋_GB2312" w:hAnsi="宋体" w:eastAsia="仿宋_GB2312" w:cs="Times New Roman"/>
          <w:kern w:val="0"/>
          <w:sz w:val="32"/>
          <w:szCs w:val="32"/>
        </w:rPr>
        <w:sectPr>
          <w:pgSz w:w="11906" w:h="16838"/>
          <w:pgMar w:top="1440" w:right="1440" w:bottom="1440" w:left="1440" w:header="851" w:footer="992" w:gutter="0"/>
          <w:cols w:space="425" w:num="1"/>
          <w:docGrid w:linePitch="579" w:charSpace="-1844"/>
        </w:sectPr>
      </w:pPr>
    </w:p>
    <w:p>
      <w:pPr>
        <w:spacing w:line="360" w:lineRule="auto"/>
        <w:jc w:val="center"/>
        <w:rPr>
          <w:rFonts w:cs="Times New Roman" w:asciiTheme="minorEastAsia" w:hAnsiTheme="minorEastAsia"/>
          <w:b/>
          <w:kern w:val="0"/>
          <w:sz w:val="28"/>
          <w:szCs w:val="28"/>
        </w:rPr>
      </w:pPr>
      <w:r>
        <w:rPr>
          <w:rFonts w:hint="eastAsia" w:cs="Times New Roman" w:asciiTheme="minorEastAsia" w:hAnsiTheme="minorEastAsia"/>
          <w:b/>
          <w:kern w:val="0"/>
          <w:sz w:val="28"/>
          <w:szCs w:val="28"/>
        </w:rPr>
        <w:t>八、签订</w:t>
      </w:r>
      <w:r>
        <w:rPr>
          <w:rFonts w:cs="Times New Roman" w:asciiTheme="minorEastAsia" w:hAnsiTheme="minorEastAsia"/>
          <w:b/>
          <w:kern w:val="0"/>
          <w:sz w:val="28"/>
          <w:szCs w:val="28"/>
        </w:rPr>
        <w:t>合同</w:t>
      </w:r>
    </w:p>
    <w:p>
      <w:pPr>
        <w:spacing w:line="360" w:lineRule="auto"/>
        <w:jc w:val="center"/>
        <w:rPr>
          <w:rFonts w:ascii="Times New Roman" w:hAnsi="Times New Roman" w:eastAsia="黑体" w:cs="Times New Roman"/>
          <w:kern w:val="0"/>
          <w:sz w:val="32"/>
          <w:szCs w:val="32"/>
        </w:rPr>
      </w:pP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（一）</w:t>
      </w:r>
      <w:r>
        <w:rPr>
          <w:rFonts w:hint="eastAsia" w:cs="Times New Roman" w:asciiTheme="minorEastAsia" w:hAnsiTheme="minorEastAsia"/>
          <w:kern w:val="0"/>
          <w:sz w:val="24"/>
          <w:szCs w:val="24"/>
        </w:rPr>
        <w:t>成交人在采购人发出《中标通知书》之日起10个工作日内，按照采购人规定的时间、地点签订合同草案，合同草案经批准后签订正式合同。未经采购人同意逾期不签订合同的，将取消成交人中标资格。</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（二）谈判文件、成交人的响应文件、补充响应文件、澄清承诺、说明、补正和《中标通知书》等，均为签订合同的依据。</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（三）所签订的合同不得对谈判文件和成交人响应文件作实质性修改。</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（四）成交人应当按照合同约定履行义务，完成中标项目。成交人不得向他人转让中标项目，也不得将中标项目分包向他人转让或委托加工。</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（五）本次招标不收取合同履约保证金。</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六）受到禁止参加我单位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pPr>
        <w:spacing w:line="360" w:lineRule="auto"/>
        <w:jc w:val="center"/>
        <w:rPr>
          <w:rFonts w:cs="Times New Roman" w:asciiTheme="minorEastAsia" w:hAnsiTheme="minorEastAsia"/>
          <w:b/>
          <w:kern w:val="0"/>
          <w:sz w:val="28"/>
          <w:szCs w:val="28"/>
        </w:rPr>
      </w:pPr>
      <w:bookmarkStart w:id="22" w:name="_Toc435540981"/>
      <w:bookmarkStart w:id="23" w:name="_Toc390713969"/>
      <w:bookmarkStart w:id="24" w:name="_Toc285612603"/>
    </w:p>
    <w:p>
      <w:pPr>
        <w:spacing w:line="360" w:lineRule="auto"/>
        <w:jc w:val="center"/>
        <w:rPr>
          <w:rFonts w:cs="Times New Roman" w:asciiTheme="minorEastAsia" w:hAnsiTheme="minorEastAsia"/>
          <w:b/>
          <w:kern w:val="0"/>
          <w:sz w:val="28"/>
          <w:szCs w:val="28"/>
        </w:rPr>
      </w:pPr>
      <w:r>
        <w:rPr>
          <w:rFonts w:hint="eastAsia" w:cs="Times New Roman" w:asciiTheme="minorEastAsia" w:hAnsiTheme="minorEastAsia"/>
          <w:b/>
          <w:kern w:val="0"/>
          <w:sz w:val="28"/>
          <w:szCs w:val="28"/>
        </w:rPr>
        <w:t>九、</w:t>
      </w:r>
      <w:r>
        <w:rPr>
          <w:rFonts w:cs="Times New Roman" w:asciiTheme="minorEastAsia" w:hAnsiTheme="minorEastAsia"/>
          <w:b/>
          <w:kern w:val="0"/>
          <w:sz w:val="28"/>
          <w:szCs w:val="28"/>
        </w:rPr>
        <w:t>产品</w:t>
      </w:r>
      <w:r>
        <w:rPr>
          <w:rFonts w:hint="eastAsia" w:cs="Times New Roman" w:asciiTheme="minorEastAsia" w:hAnsiTheme="minorEastAsia"/>
          <w:b/>
          <w:kern w:val="0"/>
          <w:sz w:val="28"/>
          <w:szCs w:val="28"/>
        </w:rPr>
        <w:t>质量</w:t>
      </w:r>
      <w:r>
        <w:rPr>
          <w:rFonts w:cs="Times New Roman" w:asciiTheme="minorEastAsia" w:hAnsiTheme="minorEastAsia"/>
          <w:b/>
          <w:kern w:val="0"/>
          <w:sz w:val="28"/>
          <w:szCs w:val="28"/>
        </w:rPr>
        <w:t>检验验收</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（一）成交人未生产过</w:t>
      </w:r>
      <w:r>
        <w:rPr>
          <w:rFonts w:cs="Times New Roman" w:asciiTheme="minorEastAsia" w:hAnsiTheme="minorEastAsia"/>
          <w:kern w:val="0"/>
          <w:sz w:val="24"/>
          <w:szCs w:val="24"/>
        </w:rPr>
        <w:t>的产品，</w:t>
      </w:r>
      <w:r>
        <w:rPr>
          <w:rFonts w:hint="eastAsia" w:cs="Times New Roman" w:asciiTheme="minorEastAsia" w:hAnsiTheme="minorEastAsia"/>
          <w:kern w:val="0"/>
          <w:sz w:val="24"/>
          <w:szCs w:val="24"/>
        </w:rPr>
        <w:t>应当</w:t>
      </w:r>
      <w:r>
        <w:rPr>
          <w:rFonts w:cs="Times New Roman" w:asciiTheme="minorEastAsia" w:hAnsiTheme="minorEastAsia"/>
          <w:kern w:val="0"/>
          <w:sz w:val="24"/>
          <w:szCs w:val="24"/>
        </w:rPr>
        <w:t>进行首</w:t>
      </w:r>
      <w:r>
        <w:rPr>
          <w:rFonts w:hint="eastAsia" w:cs="Times New Roman" w:asciiTheme="minorEastAsia" w:hAnsiTheme="minorEastAsia"/>
          <w:kern w:val="0"/>
          <w:sz w:val="24"/>
          <w:szCs w:val="24"/>
        </w:rPr>
        <w:t>件或首</w:t>
      </w:r>
      <w:r>
        <w:rPr>
          <w:rFonts w:cs="Times New Roman" w:asciiTheme="minorEastAsia" w:hAnsiTheme="minorEastAsia"/>
          <w:kern w:val="0"/>
          <w:sz w:val="24"/>
          <w:szCs w:val="24"/>
        </w:rPr>
        <w:t>批产品质量检验</w:t>
      </w:r>
      <w:r>
        <w:rPr>
          <w:rFonts w:hint="eastAsia" w:cs="Times New Roman" w:asciiTheme="minorEastAsia" w:hAnsiTheme="minorEastAsia"/>
          <w:kern w:val="0"/>
          <w:sz w:val="24"/>
          <w:szCs w:val="24"/>
        </w:rPr>
        <w:t>，即为首检</w:t>
      </w:r>
      <w:r>
        <w:rPr>
          <w:rFonts w:cs="Times New Roman" w:asciiTheme="minorEastAsia" w:hAnsiTheme="minorEastAsia"/>
          <w:kern w:val="0"/>
          <w:sz w:val="24"/>
          <w:szCs w:val="24"/>
        </w:rPr>
        <w:t>。通过</w:t>
      </w:r>
      <w:r>
        <w:rPr>
          <w:rFonts w:hint="eastAsia" w:cs="Times New Roman" w:asciiTheme="minorEastAsia" w:hAnsiTheme="minorEastAsia"/>
          <w:kern w:val="0"/>
          <w:sz w:val="24"/>
          <w:szCs w:val="24"/>
        </w:rPr>
        <w:t>首检</w:t>
      </w:r>
      <w:r>
        <w:rPr>
          <w:rFonts w:cs="Times New Roman" w:asciiTheme="minorEastAsia" w:hAnsiTheme="minorEastAsia"/>
          <w:kern w:val="0"/>
          <w:sz w:val="24"/>
          <w:szCs w:val="24"/>
        </w:rPr>
        <w:t>的产品，方可投入批量生产</w:t>
      </w:r>
      <w:r>
        <w:rPr>
          <w:rFonts w:hint="eastAsia" w:cs="Times New Roman" w:asciiTheme="minorEastAsia" w:hAnsiTheme="minorEastAsia"/>
          <w:kern w:val="0"/>
          <w:sz w:val="24"/>
          <w:szCs w:val="24"/>
        </w:rPr>
        <w:t>，应预付货款的办理预付款</w:t>
      </w:r>
      <w:r>
        <w:rPr>
          <w:rFonts w:cs="Times New Roman" w:asciiTheme="minorEastAsia" w:hAnsiTheme="minorEastAsia"/>
          <w:kern w:val="0"/>
          <w:sz w:val="24"/>
          <w:szCs w:val="24"/>
        </w:rPr>
        <w:t>；未通过</w:t>
      </w:r>
      <w:r>
        <w:rPr>
          <w:rFonts w:hint="eastAsia" w:cs="Times New Roman" w:asciiTheme="minorEastAsia" w:hAnsiTheme="minorEastAsia"/>
          <w:kern w:val="0"/>
          <w:sz w:val="24"/>
          <w:szCs w:val="24"/>
        </w:rPr>
        <w:t>首检</w:t>
      </w:r>
      <w:r>
        <w:rPr>
          <w:rFonts w:cs="Times New Roman" w:asciiTheme="minorEastAsia" w:hAnsiTheme="minorEastAsia"/>
          <w:kern w:val="0"/>
          <w:sz w:val="24"/>
          <w:szCs w:val="24"/>
        </w:rPr>
        <w:t>的，</w:t>
      </w:r>
      <w:r>
        <w:rPr>
          <w:rFonts w:hint="eastAsia" w:cs="Times New Roman" w:asciiTheme="minorEastAsia" w:hAnsiTheme="minorEastAsia"/>
          <w:kern w:val="0"/>
          <w:sz w:val="24"/>
          <w:szCs w:val="24"/>
        </w:rPr>
        <w:t>合同甲方</w:t>
      </w:r>
      <w:r>
        <w:rPr>
          <w:rFonts w:cs="Times New Roman" w:asciiTheme="minorEastAsia" w:hAnsiTheme="minorEastAsia"/>
          <w:kern w:val="0"/>
          <w:sz w:val="24"/>
          <w:szCs w:val="24"/>
        </w:rPr>
        <w:t>将书面通知</w:t>
      </w:r>
      <w:r>
        <w:rPr>
          <w:rFonts w:hint="eastAsia" w:cs="Times New Roman" w:asciiTheme="minorEastAsia" w:hAnsiTheme="minorEastAsia"/>
          <w:kern w:val="0"/>
          <w:sz w:val="24"/>
          <w:szCs w:val="24"/>
        </w:rPr>
        <w:t>成交人</w:t>
      </w:r>
      <w:r>
        <w:rPr>
          <w:rFonts w:cs="Times New Roman" w:asciiTheme="minorEastAsia" w:hAnsiTheme="minorEastAsia"/>
          <w:kern w:val="0"/>
          <w:sz w:val="24"/>
          <w:szCs w:val="24"/>
        </w:rPr>
        <w:t>限期整改，整改后进行第二次检验，检验合格后方可投入批量生产。第二次检验仍未通过的，</w:t>
      </w:r>
      <w:r>
        <w:rPr>
          <w:rFonts w:hint="eastAsia" w:cs="Times New Roman" w:asciiTheme="minorEastAsia" w:hAnsiTheme="minorEastAsia"/>
          <w:kern w:val="0"/>
          <w:sz w:val="24"/>
          <w:szCs w:val="24"/>
        </w:rPr>
        <w:t>合同甲方</w:t>
      </w:r>
      <w:r>
        <w:rPr>
          <w:rFonts w:cs="Times New Roman" w:asciiTheme="minorEastAsia" w:hAnsiTheme="minorEastAsia"/>
          <w:kern w:val="0"/>
          <w:sz w:val="24"/>
          <w:szCs w:val="24"/>
        </w:rPr>
        <w:t>不预付货款，并有权取消采购合同</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由此造成的损失，由</w:t>
      </w:r>
      <w:r>
        <w:rPr>
          <w:rFonts w:hint="eastAsia" w:cs="Times New Roman" w:asciiTheme="minorEastAsia" w:hAnsiTheme="minorEastAsia"/>
          <w:kern w:val="0"/>
          <w:sz w:val="24"/>
          <w:szCs w:val="24"/>
        </w:rPr>
        <w:t>成交人</w:t>
      </w:r>
      <w:r>
        <w:rPr>
          <w:rFonts w:cs="Times New Roman" w:asciiTheme="minorEastAsia" w:hAnsiTheme="minorEastAsia"/>
          <w:kern w:val="0"/>
          <w:sz w:val="24"/>
          <w:szCs w:val="24"/>
        </w:rPr>
        <w:t>承担。按照采购合同应当进行首检，</w:t>
      </w:r>
      <w:r>
        <w:rPr>
          <w:rFonts w:hint="eastAsia" w:cs="Times New Roman" w:asciiTheme="minorEastAsia" w:hAnsiTheme="minorEastAsia"/>
          <w:kern w:val="0"/>
          <w:sz w:val="24"/>
          <w:szCs w:val="24"/>
        </w:rPr>
        <w:t>成交人</w:t>
      </w:r>
      <w:r>
        <w:rPr>
          <w:rFonts w:cs="Times New Roman" w:asciiTheme="minorEastAsia" w:hAnsiTheme="minorEastAsia"/>
          <w:kern w:val="0"/>
          <w:sz w:val="24"/>
          <w:szCs w:val="24"/>
        </w:rPr>
        <w:t>未申请</w:t>
      </w:r>
      <w:r>
        <w:rPr>
          <w:rFonts w:hint="eastAsia" w:cs="Times New Roman" w:asciiTheme="minorEastAsia" w:hAnsiTheme="minorEastAsia"/>
          <w:kern w:val="0"/>
          <w:sz w:val="24"/>
          <w:szCs w:val="24"/>
        </w:rPr>
        <w:t>首检且</w:t>
      </w:r>
      <w:r>
        <w:rPr>
          <w:rFonts w:cs="Times New Roman" w:asciiTheme="minorEastAsia" w:hAnsiTheme="minorEastAsia"/>
          <w:kern w:val="0"/>
          <w:sz w:val="24"/>
          <w:szCs w:val="24"/>
        </w:rPr>
        <w:t>直接投入批量生产的，或者首检以及二次检验未通过</w:t>
      </w:r>
      <w:r>
        <w:rPr>
          <w:rFonts w:hint="eastAsia" w:cs="Times New Roman" w:asciiTheme="minorEastAsia" w:hAnsiTheme="minorEastAsia"/>
          <w:kern w:val="0"/>
          <w:sz w:val="24"/>
          <w:szCs w:val="24"/>
        </w:rPr>
        <w:t>成交人</w:t>
      </w:r>
      <w:r>
        <w:rPr>
          <w:rFonts w:cs="Times New Roman" w:asciiTheme="minorEastAsia" w:hAnsiTheme="minorEastAsia"/>
          <w:kern w:val="0"/>
          <w:sz w:val="24"/>
          <w:szCs w:val="24"/>
        </w:rPr>
        <w:t>擅自投入批量生产的，</w:t>
      </w:r>
      <w:r>
        <w:rPr>
          <w:rFonts w:hint="eastAsia" w:cs="Times New Roman" w:asciiTheme="minorEastAsia" w:hAnsiTheme="minorEastAsia"/>
          <w:kern w:val="0"/>
          <w:sz w:val="24"/>
          <w:szCs w:val="24"/>
        </w:rPr>
        <w:t>合同甲方</w:t>
      </w:r>
      <w:r>
        <w:rPr>
          <w:rFonts w:cs="Times New Roman" w:asciiTheme="minorEastAsia" w:hAnsiTheme="minorEastAsia"/>
          <w:kern w:val="0"/>
          <w:sz w:val="24"/>
          <w:szCs w:val="24"/>
        </w:rPr>
        <w:t>将取消</w:t>
      </w:r>
      <w:r>
        <w:rPr>
          <w:rFonts w:hint="eastAsia" w:cs="Times New Roman" w:asciiTheme="minorEastAsia" w:hAnsiTheme="minorEastAsia"/>
          <w:kern w:val="0"/>
          <w:sz w:val="24"/>
          <w:szCs w:val="24"/>
        </w:rPr>
        <w:t>或解除</w:t>
      </w:r>
      <w:r>
        <w:rPr>
          <w:rFonts w:cs="Times New Roman" w:asciiTheme="minorEastAsia" w:hAnsiTheme="minorEastAsia"/>
          <w:kern w:val="0"/>
          <w:sz w:val="24"/>
          <w:szCs w:val="24"/>
        </w:rPr>
        <w:t>采购合同</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由此造成的损失，由</w:t>
      </w:r>
      <w:r>
        <w:rPr>
          <w:rFonts w:hint="eastAsia" w:cs="Times New Roman" w:asciiTheme="minorEastAsia" w:hAnsiTheme="minorEastAsia"/>
          <w:kern w:val="0"/>
          <w:sz w:val="24"/>
          <w:szCs w:val="24"/>
        </w:rPr>
        <w:t>成交人</w:t>
      </w:r>
      <w:r>
        <w:rPr>
          <w:rFonts w:cs="Times New Roman" w:asciiTheme="minorEastAsia" w:hAnsiTheme="minorEastAsia"/>
          <w:kern w:val="0"/>
          <w:sz w:val="24"/>
          <w:szCs w:val="24"/>
        </w:rPr>
        <w:t>承担。</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（二）产品生产过程中，合同甲方代表可组织质量监督检验，成交人应予以积极配合。</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（三）产品</w:t>
      </w:r>
      <w:r>
        <w:rPr>
          <w:rFonts w:cs="Times New Roman" w:asciiTheme="minorEastAsia" w:hAnsiTheme="minorEastAsia"/>
          <w:kern w:val="0"/>
          <w:sz w:val="24"/>
          <w:szCs w:val="24"/>
        </w:rPr>
        <w:t>出厂前，</w:t>
      </w:r>
      <w:r>
        <w:rPr>
          <w:rFonts w:hint="eastAsia" w:cs="Times New Roman" w:asciiTheme="minorEastAsia" w:hAnsiTheme="minorEastAsia"/>
          <w:kern w:val="0"/>
          <w:sz w:val="24"/>
          <w:szCs w:val="24"/>
        </w:rPr>
        <w:t>成交人应当进行产品自检，自检合格后</w:t>
      </w:r>
      <w:r>
        <w:rPr>
          <w:rFonts w:cs="Times New Roman" w:asciiTheme="minorEastAsia" w:hAnsiTheme="minorEastAsia"/>
          <w:kern w:val="0"/>
          <w:sz w:val="24"/>
          <w:szCs w:val="24"/>
        </w:rPr>
        <w:t>向</w:t>
      </w:r>
      <w:r>
        <w:rPr>
          <w:rFonts w:hint="eastAsia" w:cs="Times New Roman" w:asciiTheme="minorEastAsia" w:hAnsiTheme="minorEastAsia"/>
          <w:kern w:val="0"/>
          <w:sz w:val="24"/>
          <w:szCs w:val="24"/>
        </w:rPr>
        <w:t>合同甲方</w:t>
      </w:r>
      <w:r>
        <w:rPr>
          <w:rFonts w:cs="Times New Roman" w:asciiTheme="minorEastAsia" w:hAnsiTheme="minorEastAsia"/>
          <w:kern w:val="0"/>
          <w:sz w:val="24"/>
          <w:szCs w:val="24"/>
        </w:rPr>
        <w:t>申请出厂验收，验收合格后方可出厂。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（四）产品</w:t>
      </w:r>
      <w:r>
        <w:rPr>
          <w:rFonts w:cs="Times New Roman" w:asciiTheme="minorEastAsia" w:hAnsiTheme="minorEastAsia"/>
          <w:kern w:val="0"/>
          <w:sz w:val="24"/>
          <w:szCs w:val="24"/>
        </w:rPr>
        <w:t>出厂验收不合格，</w:t>
      </w:r>
      <w:r>
        <w:rPr>
          <w:rFonts w:hint="eastAsia" w:cs="Times New Roman" w:asciiTheme="minorEastAsia" w:hAnsiTheme="minorEastAsia"/>
          <w:kern w:val="0"/>
          <w:sz w:val="24"/>
          <w:szCs w:val="24"/>
        </w:rPr>
        <w:t>合同甲方</w:t>
      </w:r>
      <w:r>
        <w:rPr>
          <w:rFonts w:cs="Times New Roman" w:asciiTheme="minorEastAsia" w:hAnsiTheme="minorEastAsia"/>
          <w:kern w:val="0"/>
          <w:sz w:val="24"/>
          <w:szCs w:val="24"/>
        </w:rPr>
        <w:t>有权拒收货物和</w:t>
      </w:r>
      <w:r>
        <w:rPr>
          <w:rFonts w:hint="eastAsia" w:cs="Times New Roman" w:asciiTheme="minorEastAsia" w:hAnsiTheme="minorEastAsia"/>
          <w:kern w:val="0"/>
          <w:sz w:val="24"/>
          <w:szCs w:val="24"/>
        </w:rPr>
        <w:t>解除</w:t>
      </w:r>
      <w:r>
        <w:rPr>
          <w:rFonts w:cs="Times New Roman" w:asciiTheme="minorEastAsia" w:hAnsiTheme="minorEastAsia"/>
          <w:kern w:val="0"/>
          <w:sz w:val="24"/>
          <w:szCs w:val="24"/>
        </w:rPr>
        <w:t>采购合同，由此造成的损失，由</w:t>
      </w:r>
      <w:r>
        <w:rPr>
          <w:rFonts w:hint="eastAsia" w:cs="Times New Roman" w:asciiTheme="minorEastAsia" w:hAnsiTheme="minorEastAsia"/>
          <w:kern w:val="0"/>
          <w:sz w:val="24"/>
          <w:szCs w:val="24"/>
        </w:rPr>
        <w:t>成交人</w:t>
      </w:r>
      <w:r>
        <w:rPr>
          <w:rFonts w:cs="Times New Roman" w:asciiTheme="minorEastAsia" w:hAnsiTheme="minorEastAsia"/>
          <w:kern w:val="0"/>
          <w:sz w:val="24"/>
          <w:szCs w:val="24"/>
        </w:rPr>
        <w:t>承担。出厂验收</w:t>
      </w:r>
      <w:r>
        <w:rPr>
          <w:rFonts w:hint="eastAsia" w:cs="Times New Roman" w:asciiTheme="minorEastAsia" w:hAnsiTheme="minorEastAsia"/>
          <w:kern w:val="0"/>
          <w:sz w:val="24"/>
          <w:szCs w:val="24"/>
        </w:rPr>
        <w:t>过程中，成交人可有1次整改机会，若第一次检验未通过，合同甲方</w:t>
      </w:r>
      <w:r>
        <w:rPr>
          <w:rFonts w:cs="Times New Roman" w:asciiTheme="minorEastAsia" w:hAnsiTheme="minorEastAsia"/>
          <w:kern w:val="0"/>
          <w:sz w:val="24"/>
          <w:szCs w:val="24"/>
        </w:rPr>
        <w:t>将书面通知</w:t>
      </w:r>
      <w:r>
        <w:rPr>
          <w:rFonts w:hint="eastAsia" w:cs="Times New Roman" w:asciiTheme="minorEastAsia" w:hAnsiTheme="minorEastAsia"/>
          <w:kern w:val="0"/>
          <w:sz w:val="24"/>
          <w:szCs w:val="24"/>
        </w:rPr>
        <w:t>成交供应商</w:t>
      </w:r>
      <w:r>
        <w:rPr>
          <w:rFonts w:cs="Times New Roman" w:asciiTheme="minorEastAsia" w:hAnsiTheme="minorEastAsia"/>
          <w:kern w:val="0"/>
          <w:sz w:val="24"/>
          <w:szCs w:val="24"/>
        </w:rPr>
        <w:t>限期整改，整改后进行第二次检验，检验合格后方可</w:t>
      </w:r>
      <w:r>
        <w:rPr>
          <w:rFonts w:hint="eastAsia" w:cs="Times New Roman" w:asciiTheme="minorEastAsia" w:hAnsiTheme="minorEastAsia"/>
          <w:kern w:val="0"/>
          <w:sz w:val="24"/>
          <w:szCs w:val="24"/>
        </w:rPr>
        <w:t>出厂</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若</w:t>
      </w:r>
      <w:r>
        <w:rPr>
          <w:rFonts w:cs="Times New Roman" w:asciiTheme="minorEastAsia" w:hAnsiTheme="minorEastAsia"/>
          <w:kern w:val="0"/>
          <w:sz w:val="24"/>
          <w:szCs w:val="24"/>
        </w:rPr>
        <w:t>第二次检验仍未通过的，</w:t>
      </w:r>
      <w:r>
        <w:rPr>
          <w:rFonts w:hint="eastAsia" w:cs="Times New Roman" w:asciiTheme="minorEastAsia" w:hAnsiTheme="minorEastAsia"/>
          <w:kern w:val="0"/>
          <w:sz w:val="24"/>
          <w:szCs w:val="24"/>
        </w:rPr>
        <w:t>合同甲方</w:t>
      </w:r>
      <w:r>
        <w:rPr>
          <w:rFonts w:cs="Times New Roman" w:asciiTheme="minorEastAsia" w:hAnsiTheme="minorEastAsia"/>
          <w:kern w:val="0"/>
          <w:sz w:val="24"/>
          <w:szCs w:val="24"/>
        </w:rPr>
        <w:t>有权取消</w:t>
      </w:r>
      <w:r>
        <w:rPr>
          <w:rFonts w:hint="eastAsia" w:cs="Times New Roman" w:asciiTheme="minorEastAsia" w:hAnsiTheme="minorEastAsia"/>
          <w:kern w:val="0"/>
          <w:sz w:val="24"/>
          <w:szCs w:val="24"/>
        </w:rPr>
        <w:t>或解除</w:t>
      </w:r>
      <w:r>
        <w:rPr>
          <w:rFonts w:cs="Times New Roman" w:asciiTheme="minorEastAsia" w:hAnsiTheme="minorEastAsia"/>
          <w:kern w:val="0"/>
          <w:sz w:val="24"/>
          <w:szCs w:val="24"/>
        </w:rPr>
        <w:t>采购合同</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由此造成的损失，由</w:t>
      </w:r>
      <w:r>
        <w:rPr>
          <w:rFonts w:hint="eastAsia" w:cs="Times New Roman" w:asciiTheme="minorEastAsia" w:hAnsiTheme="minorEastAsia"/>
          <w:kern w:val="0"/>
          <w:sz w:val="24"/>
          <w:szCs w:val="24"/>
        </w:rPr>
        <w:t>成交人</w:t>
      </w:r>
      <w:r>
        <w:rPr>
          <w:rFonts w:cs="Times New Roman" w:asciiTheme="minorEastAsia" w:hAnsiTheme="minorEastAsia"/>
          <w:kern w:val="0"/>
          <w:sz w:val="24"/>
          <w:szCs w:val="24"/>
        </w:rPr>
        <w:t>承担。</w:t>
      </w:r>
    </w:p>
    <w:p>
      <w:pPr>
        <w:spacing w:line="360" w:lineRule="auto"/>
        <w:ind w:firstLine="480" w:firstLineChars="200"/>
        <w:rPr>
          <w:rFonts w:cs="Times New Roman" w:asciiTheme="minorEastAsia" w:hAnsiTheme="minorEastAsia"/>
          <w:kern w:val="0"/>
          <w:sz w:val="24"/>
          <w:szCs w:val="24"/>
        </w:rPr>
      </w:pPr>
    </w:p>
    <w:p>
      <w:pPr>
        <w:spacing w:line="360" w:lineRule="auto"/>
        <w:jc w:val="center"/>
        <w:rPr>
          <w:rFonts w:cs="Times New Roman" w:asciiTheme="minorEastAsia" w:hAnsiTheme="minorEastAsia"/>
          <w:b/>
          <w:kern w:val="0"/>
          <w:sz w:val="28"/>
          <w:szCs w:val="28"/>
        </w:rPr>
      </w:pPr>
      <w:r>
        <w:rPr>
          <w:rFonts w:hint="eastAsia" w:cs="Times New Roman" w:asciiTheme="minorEastAsia" w:hAnsiTheme="minorEastAsia"/>
          <w:b/>
          <w:kern w:val="0"/>
          <w:sz w:val="28"/>
          <w:szCs w:val="28"/>
        </w:rPr>
        <w:t>十、</w:t>
      </w:r>
      <w:r>
        <w:rPr>
          <w:rFonts w:cs="Times New Roman" w:asciiTheme="minorEastAsia" w:hAnsiTheme="minorEastAsia"/>
          <w:b/>
          <w:kern w:val="0"/>
          <w:sz w:val="28"/>
          <w:szCs w:val="28"/>
        </w:rPr>
        <w:t>解释权限</w:t>
      </w: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sectPr>
          <w:headerReference r:id="rId6" w:type="default"/>
          <w:pgSz w:w="11906" w:h="16838"/>
          <w:pgMar w:top="1440" w:right="1440" w:bottom="1440" w:left="1440" w:header="851" w:footer="992" w:gutter="0"/>
          <w:cols w:space="425" w:num="1"/>
          <w:docGrid w:linePitch="579" w:charSpace="-1844"/>
        </w:sectPr>
      </w:pPr>
      <w:r>
        <w:rPr>
          <w:rFonts w:cs="Times New Roman" w:asciiTheme="minorEastAsia" w:hAnsiTheme="minorEastAsia"/>
          <w:kern w:val="0"/>
          <w:sz w:val="24"/>
          <w:szCs w:val="24"/>
        </w:rPr>
        <w:t>本</w:t>
      </w:r>
      <w:r>
        <w:rPr>
          <w:rFonts w:hint="eastAsia" w:cs="Times New Roman" w:asciiTheme="minorEastAsia" w:hAnsiTheme="minorEastAsia"/>
          <w:kern w:val="0"/>
          <w:sz w:val="24"/>
          <w:szCs w:val="24"/>
        </w:rPr>
        <w:t>谈判文件</w:t>
      </w:r>
      <w:r>
        <w:rPr>
          <w:rFonts w:cs="Times New Roman" w:asciiTheme="minorEastAsia" w:hAnsiTheme="minorEastAsia"/>
          <w:kern w:val="0"/>
          <w:sz w:val="24"/>
          <w:szCs w:val="24"/>
        </w:rPr>
        <w:t>由</w:t>
      </w:r>
      <w:r>
        <w:rPr>
          <w:rFonts w:hint="eastAsia" w:cs="Times New Roman" w:asciiTheme="minorEastAsia" w:hAnsiTheme="minorEastAsia"/>
          <w:kern w:val="0"/>
          <w:sz w:val="24"/>
          <w:szCs w:val="24"/>
        </w:rPr>
        <w:t>采购人</w:t>
      </w:r>
      <w:r>
        <w:rPr>
          <w:rFonts w:cs="Times New Roman" w:asciiTheme="minorEastAsia" w:hAnsiTheme="minorEastAsia"/>
          <w:kern w:val="0"/>
          <w:sz w:val="24"/>
          <w:szCs w:val="24"/>
        </w:rPr>
        <w:t>负责解释。</w:t>
      </w:r>
    </w:p>
    <w:p>
      <w:pPr>
        <w:spacing w:line="560" w:lineRule="exact"/>
        <w:jc w:val="center"/>
        <w:outlineLvl w:val="0"/>
        <w:rPr>
          <w:rFonts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t>第四部分  合同样本</w:t>
      </w:r>
      <w:bookmarkEnd w:id="22"/>
      <w:bookmarkEnd w:id="23"/>
      <w:bookmarkEnd w:id="24"/>
      <w:bookmarkStart w:id="25" w:name="_Toc240432233"/>
      <w:bookmarkStart w:id="26" w:name="_Toc435540982"/>
      <w:bookmarkStart w:id="27" w:name="_Toc390713970"/>
      <w:bookmarkStart w:id="28" w:name="_Toc285612604"/>
    </w:p>
    <w:p>
      <w:pPr>
        <w:tabs>
          <w:tab w:val="center" w:pos="4873"/>
          <w:tab w:val="left" w:pos="8504"/>
        </w:tabs>
        <w:jc w:val="center"/>
        <w:rPr>
          <w:rFonts w:ascii="方正大标宋简体" w:eastAsia="方正大标宋简体"/>
          <w:bCs/>
          <w:sz w:val="44"/>
          <w:szCs w:val="44"/>
        </w:rPr>
      </w:pPr>
      <w:r>
        <w:rPr>
          <w:rFonts w:hint="eastAsia" w:ascii="方正大标宋简体" w:eastAsia="方正大标宋简体"/>
          <w:bCs/>
          <w:sz w:val="44"/>
          <w:szCs w:val="44"/>
        </w:rPr>
        <w:t>物资采购合同</w:t>
      </w:r>
    </w:p>
    <w:p>
      <w:pPr>
        <w:jc w:val="left"/>
      </w:pPr>
      <w:r>
        <w:drawing>
          <wp:inline distT="0" distB="0" distL="0" distR="0">
            <wp:extent cx="6143625" cy="3619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143625" cy="3619500"/>
                    </a:xfrm>
                    <a:prstGeom prst="rect">
                      <a:avLst/>
                    </a:prstGeom>
                    <a:noFill/>
                    <a:ln>
                      <a:noFill/>
                    </a:ln>
                  </pic:spPr>
                </pic:pic>
              </a:graphicData>
            </a:graphic>
          </wp:inline>
        </w:drawing>
      </w:r>
    </w:p>
    <w:p>
      <w:pPr>
        <w:jc w:val="left"/>
        <w:rPr>
          <w:rFonts w:ascii="黑体" w:hAnsi="宋体" w:eastAsia="黑体"/>
          <w:bCs/>
          <w:snapToGrid w:val="0"/>
          <w:spacing w:val="-10"/>
          <w:kern w:val="0"/>
          <w:sz w:val="28"/>
          <w:szCs w:val="28"/>
        </w:rPr>
      </w:pPr>
      <w:r>
        <w:rPr>
          <w:rFonts w:hint="eastAsia" w:ascii="黑体" w:hAnsi="宋体" w:eastAsia="黑体"/>
          <w:bCs/>
          <w:snapToGrid w:val="0"/>
          <w:spacing w:val="-10"/>
          <w:kern w:val="0"/>
          <w:sz w:val="28"/>
          <w:szCs w:val="28"/>
        </w:rPr>
        <w:t xml:space="preserve">    一、合同标的</w:t>
      </w:r>
      <w:r>
        <w:rPr>
          <w:rFonts w:hint="eastAsia"/>
        </w:rPr>
        <w:t xml:space="preserve"> </w:t>
      </w:r>
    </w:p>
    <w:p>
      <w:pPr>
        <w:rPr>
          <w:rFonts w:ascii="黑体" w:hAnsi="宋体" w:eastAsia="黑体"/>
          <w:bCs/>
          <w:snapToGrid w:val="0"/>
          <w:kern w:val="0"/>
          <w:sz w:val="28"/>
          <w:szCs w:val="28"/>
        </w:rPr>
      </w:pPr>
      <w:r>
        <w:drawing>
          <wp:inline distT="0" distB="0" distL="0" distR="0">
            <wp:extent cx="6200775" cy="2590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200775" cy="2590800"/>
                    </a:xfrm>
                    <a:prstGeom prst="rect">
                      <a:avLst/>
                    </a:prstGeom>
                    <a:noFill/>
                    <a:ln>
                      <a:noFill/>
                    </a:ln>
                  </pic:spPr>
                </pic:pic>
              </a:graphicData>
            </a:graphic>
          </wp:inline>
        </w:drawing>
      </w:r>
    </w:p>
    <w:p>
      <w:pPr>
        <w:spacing w:line="576" w:lineRule="exact"/>
        <w:ind w:firstLine="560" w:firstLineChars="200"/>
        <w:rPr>
          <w:rFonts w:ascii="仿宋_GB2312" w:hAnsi="宋体" w:eastAsia="仿宋_GB2312"/>
          <w:snapToGrid w:val="0"/>
          <w:kern w:val="0"/>
          <w:sz w:val="28"/>
          <w:szCs w:val="28"/>
        </w:rPr>
      </w:pPr>
      <w:r>
        <w:rPr>
          <w:rFonts w:hint="eastAsia" w:ascii="黑体" w:hAnsi="宋体" w:eastAsia="黑体"/>
          <w:bCs/>
          <w:snapToGrid w:val="0"/>
          <w:kern w:val="0"/>
          <w:sz w:val="28"/>
          <w:szCs w:val="28"/>
        </w:rPr>
        <w:t>二、质量标准</w:t>
      </w:r>
      <w:r>
        <w:rPr>
          <w:rFonts w:hint="eastAsia" w:ascii="仿宋_GB2312" w:hAnsi="宋体" w:eastAsia="仿宋_GB2312"/>
          <w:bCs/>
          <w:snapToGrid w:val="0"/>
          <w:kern w:val="0"/>
          <w:sz w:val="28"/>
          <w:szCs w:val="28"/>
        </w:rPr>
        <w:t xml:space="preserve"> </w:t>
      </w:r>
      <w:r>
        <w:rPr>
          <w:rFonts w:hint="eastAsia" w:ascii="仿宋_GB2312" w:hAnsi="宋体" w:eastAsia="仿宋_GB2312"/>
          <w:snapToGrid w:val="0"/>
          <w:kern w:val="0"/>
          <w:sz w:val="28"/>
          <w:szCs w:val="28"/>
        </w:rPr>
        <w:t xml:space="preserve"> 乙方提供的货物必须是全新的、未使用过的，物资质量应符合　□国际标准　□国家标准　□国军标　□行业标准　□企业标准 □设计任务书　□投标书或响应文件承诺□其它</w:t>
      </w:r>
      <w:r>
        <w:rPr>
          <w:rFonts w:hint="eastAsia" w:ascii="仿宋_GB2312" w:hAnsi="宋体" w:eastAsia="仿宋_GB2312"/>
          <w:snapToGrid w:val="0"/>
          <w:kern w:val="0"/>
          <w:sz w:val="28"/>
          <w:szCs w:val="28"/>
          <w:u w:val="single"/>
        </w:rPr>
        <w:t xml:space="preserve"> </w:t>
      </w:r>
      <w:r>
        <w:rPr>
          <w:rFonts w:hint="eastAsia" w:ascii="仿宋_GB2312" w:hAnsi="宋体" w:eastAsia="仿宋_GB2312"/>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bCs/>
          <w:snapToGrid w:val="0"/>
          <w:kern w:val="0"/>
          <w:sz w:val="28"/>
          <w:szCs w:val="28"/>
        </w:rPr>
      </w:pPr>
      <w:r>
        <w:rPr>
          <w:rFonts w:hint="eastAsia" w:ascii="黑体" w:hAnsi="宋体" w:eastAsia="黑体"/>
          <w:bCs/>
          <w:snapToGrid w:val="0"/>
          <w:kern w:val="0"/>
          <w:sz w:val="28"/>
          <w:szCs w:val="28"/>
        </w:rPr>
        <w:t>三、包装及资料</w:t>
      </w:r>
      <w:r>
        <w:rPr>
          <w:rFonts w:hint="eastAsia" w:ascii="仿宋_GB2312" w:hAnsi="宋体" w:eastAsia="仿宋_GB2312"/>
          <w:bCs/>
          <w:snapToGrid w:val="0"/>
          <w:kern w:val="0"/>
          <w:sz w:val="28"/>
          <w:szCs w:val="28"/>
        </w:rPr>
        <w:t xml:space="preserve">  </w:t>
      </w:r>
      <w:r>
        <w:rPr>
          <w:rFonts w:hint="eastAsia" w:ascii="仿宋_GB2312" w:hAnsi="宋体" w:eastAsia="仿宋_GB2312"/>
          <w:snapToGrid w:val="0"/>
          <w:kern w:val="0"/>
          <w:sz w:val="28"/>
          <w:szCs w:val="28"/>
        </w:rPr>
        <w:t>物资包装应符合  □国际标准　□国家标准　□国军标　□行业标准　□企业标准 □设计任务书　□投标书或响应文件承诺  □其它</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bCs/>
          <w:snapToGrid w:val="0"/>
          <w:kern w:val="0"/>
          <w:sz w:val="28"/>
          <w:szCs w:val="28"/>
        </w:rPr>
      </w:pPr>
      <w:r>
        <w:rPr>
          <w:rFonts w:hint="eastAsia" w:ascii="仿宋_GB2312" w:hAnsi="宋体" w:eastAsia="仿宋_GB2312"/>
          <w:snapToGrid w:val="0"/>
          <w:kern w:val="0"/>
          <w:sz w:val="28"/>
          <w:szCs w:val="28"/>
        </w:rPr>
        <w:t>□</w:t>
      </w:r>
      <w:r>
        <w:rPr>
          <w:rFonts w:hint="eastAsia" w:ascii="仿宋_GB2312" w:hAnsi="宋体" w:eastAsia="仿宋_GB2312"/>
          <w:bCs/>
          <w:snapToGrid w:val="0"/>
          <w:kern w:val="0"/>
          <w:sz w:val="28"/>
          <w:szCs w:val="28"/>
        </w:rPr>
        <w:t>物资出厂资料</w:t>
      </w:r>
      <w:r>
        <w:rPr>
          <w:rFonts w:hint="eastAsia" w:ascii="仿宋_GB2312" w:hAnsi="宋体" w:eastAsia="仿宋_GB2312"/>
          <w:snapToGrid w:val="0"/>
          <w:kern w:val="0"/>
          <w:sz w:val="28"/>
          <w:szCs w:val="28"/>
        </w:rPr>
        <w:t xml:space="preserve">  □中文使用操作说明书（2套）　□售后服务手册　□操作维修光盘（2套）  □履历书　□装箱清单　□随装工具  □随装备件 □质量检验证明  □产品合格证  □军检合格证  □装备铭牌（块数、式样、材质、安装位置供需双方商定）□其它</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sz w:val="28"/>
          <w:szCs w:val="28"/>
          <w:u w:val="single"/>
        </w:rPr>
        <w:t xml:space="preserve">      </w:t>
      </w:r>
      <w:r>
        <w:rPr>
          <w:rFonts w:hint="eastAsia" w:ascii="仿宋_GB2312" w:hAnsi="宋体" w:eastAsia="仿宋_GB2312"/>
          <w:snapToGrid w:val="0"/>
          <w:kern w:val="0"/>
          <w:sz w:val="28"/>
          <w:szCs w:val="28"/>
          <w:u w:val="single"/>
        </w:rPr>
        <w:t>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黑体" w:hAnsi="宋体" w:eastAsia="黑体"/>
          <w:bCs/>
          <w:snapToGrid w:val="0"/>
          <w:kern w:val="0"/>
          <w:sz w:val="28"/>
          <w:szCs w:val="28"/>
        </w:rPr>
        <w:t>四、检验验收</w:t>
      </w:r>
      <w:r>
        <w:rPr>
          <w:rFonts w:hint="eastAsia" w:ascii="仿宋_GB2312" w:hAnsi="宋体" w:eastAsia="仿宋_GB2312"/>
          <w:bCs/>
          <w:snapToGrid w:val="0"/>
          <w:kern w:val="0"/>
          <w:sz w:val="28"/>
          <w:szCs w:val="28"/>
        </w:rPr>
        <w:t xml:space="preserve">  </w:t>
      </w:r>
      <w:r>
        <w:rPr>
          <w:rFonts w:hint="eastAsia" w:ascii="仿宋_GB2312" w:hAnsi="宋体" w:eastAsia="仿宋_GB2312"/>
          <w:snapToGrid w:val="0"/>
          <w:kern w:val="0"/>
          <w:sz w:val="28"/>
          <w:szCs w:val="28"/>
        </w:rPr>
        <w:t>□出厂验收由甲方</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组织，乙方配合，验收时间及方法</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w:t>
      </w:r>
      <w:r>
        <w:rPr>
          <w:rFonts w:hint="eastAsia" w:ascii="仿宋_GB2312" w:hAnsi="宋体" w:eastAsia="仿宋_GB2312" w:cs="Times New Roman"/>
          <w:snapToGrid w:val="0"/>
          <w:kern w:val="0"/>
          <w:sz w:val="28"/>
          <w:szCs w:val="28"/>
        </w:rPr>
        <w:t>乙方详细生产地址</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□交货验收</w:t>
      </w:r>
      <w:r>
        <w:rPr>
          <w:rFonts w:hint="eastAsia" w:ascii="仿宋_GB2312" w:hAnsi="宋体" w:eastAsia="仿宋_GB2312"/>
          <w:snapToGrid w:val="0"/>
          <w:kern w:val="0"/>
          <w:sz w:val="28"/>
          <w:szCs w:val="28"/>
          <w:u w:val="single"/>
        </w:rPr>
        <w:t xml:space="preserve">  </w:t>
      </w:r>
      <w:r>
        <w:rPr>
          <w:rFonts w:hint="eastAsia" w:ascii="仿宋_GB2312" w:hAnsi="宋体" w:eastAsia="仿宋_GB2312"/>
          <w:kern w:val="0"/>
          <w:sz w:val="28"/>
          <w:szCs w:val="28"/>
          <w:u w:val="single"/>
          <w:lang w:val="zh-CN"/>
        </w:rPr>
        <w:t xml:space="preserve">                               </w:t>
      </w:r>
      <w:r>
        <w:rPr>
          <w:rFonts w:hint="eastAsia" w:ascii="仿宋_GB2312" w:hAnsi="宋体" w:eastAsia="仿宋_GB2312"/>
          <w:snapToGrid w:val="0"/>
          <w:sz w:val="28"/>
          <w:szCs w:val="28"/>
          <w:u w:val="single"/>
        </w:rPr>
        <w:t xml:space="preserve"> </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□过程检验</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 xml:space="preserve">   □其它</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黑体" w:hAnsi="宋体" w:eastAsia="黑体"/>
          <w:bCs/>
          <w:snapToGrid w:val="0"/>
          <w:kern w:val="0"/>
          <w:sz w:val="28"/>
          <w:szCs w:val="28"/>
        </w:rPr>
        <w:t>五、交货地点</w:t>
      </w:r>
      <w:r>
        <w:rPr>
          <w:rFonts w:hint="eastAsia" w:ascii="仿宋_GB2312" w:hAnsi="宋体" w:eastAsia="仿宋_GB2312"/>
          <w:bCs/>
          <w:snapToGrid w:val="0"/>
          <w:kern w:val="0"/>
          <w:sz w:val="28"/>
          <w:szCs w:val="28"/>
        </w:rPr>
        <w:t xml:space="preserve">  </w:t>
      </w:r>
      <w:r>
        <w:rPr>
          <w:rFonts w:hint="eastAsia" w:ascii="仿宋_GB2312" w:hAnsi="宋体" w:eastAsia="仿宋_GB2312"/>
          <w:snapToGrid w:val="0"/>
          <w:kern w:val="0"/>
          <w:sz w:val="28"/>
          <w:szCs w:val="28"/>
        </w:rPr>
        <w:t>□乙方</w:t>
      </w:r>
      <w:r>
        <w:rPr>
          <w:rFonts w:hint="eastAsia" w:ascii="仿宋_GB2312" w:hAnsi="宋体" w:eastAsia="仿宋_GB2312"/>
          <w:snapToGrid w:val="0"/>
          <w:kern w:val="0"/>
          <w:sz w:val="28"/>
          <w:szCs w:val="28"/>
          <w:u w:val="single"/>
        </w:rPr>
        <w:t>　　  　</w:t>
      </w:r>
      <w:r>
        <w:rPr>
          <w:rFonts w:hint="eastAsia" w:ascii="仿宋_GB2312" w:hAnsi="宋体" w:eastAsia="仿宋_GB2312"/>
          <w:snapToGrid w:val="0"/>
          <w:kern w:val="0"/>
          <w:sz w:val="28"/>
          <w:szCs w:val="28"/>
        </w:rPr>
        <w:t xml:space="preserve">  □甲方发运接收单指定地点</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sz w:val="28"/>
          <w:szCs w:val="28"/>
          <w:u w:val="single"/>
        </w:rPr>
        <w:t xml:space="preserve">       </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bCs/>
          <w:snapToGrid w:val="0"/>
          <w:kern w:val="0"/>
          <w:sz w:val="28"/>
          <w:szCs w:val="28"/>
        </w:rPr>
      </w:pPr>
      <w:r>
        <w:rPr>
          <w:rFonts w:hint="eastAsia" w:ascii="仿宋_GB2312" w:hAnsi="宋体" w:eastAsia="仿宋_GB2312"/>
          <w:snapToGrid w:val="0"/>
          <w:kern w:val="0"/>
          <w:sz w:val="28"/>
          <w:szCs w:val="28"/>
        </w:rPr>
        <w:t xml:space="preserve">              □其它</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黑体" w:hAnsi="宋体" w:eastAsia="黑体"/>
          <w:bCs/>
          <w:snapToGrid w:val="0"/>
          <w:kern w:val="0"/>
          <w:sz w:val="28"/>
          <w:szCs w:val="28"/>
        </w:rPr>
        <w:t>六、交货方式</w:t>
      </w:r>
      <w:r>
        <w:rPr>
          <w:rFonts w:hint="eastAsia" w:ascii="仿宋_GB2312" w:hAnsi="宋体" w:eastAsia="仿宋_GB2312"/>
          <w:bCs/>
          <w:snapToGrid w:val="0"/>
          <w:kern w:val="0"/>
          <w:sz w:val="28"/>
          <w:szCs w:val="28"/>
        </w:rPr>
        <w:t xml:space="preserve">  </w:t>
      </w:r>
      <w:r>
        <w:rPr>
          <w:rFonts w:hint="eastAsia" w:ascii="仿宋_GB2312" w:hAnsi="宋体" w:eastAsia="仿宋_GB2312"/>
          <w:snapToGrid w:val="0"/>
          <w:kern w:val="0"/>
          <w:sz w:val="28"/>
          <w:szCs w:val="28"/>
        </w:rPr>
        <w:t>□甲方自提　□乙方送货　□甲方负责申请（□公路  □铁路　□水运 □航空）军事运输计划组织发运，乙方配合 □其他</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u w:val="single"/>
        </w:rPr>
      </w:pPr>
      <w:r>
        <w:rPr>
          <w:rFonts w:hint="eastAsia" w:ascii="黑体" w:hAnsi="宋体" w:eastAsia="黑体"/>
          <w:bCs/>
          <w:snapToGrid w:val="0"/>
          <w:kern w:val="0"/>
          <w:sz w:val="28"/>
          <w:szCs w:val="28"/>
        </w:rPr>
        <w:t>七、运输费用</w:t>
      </w:r>
      <w:r>
        <w:rPr>
          <w:rFonts w:hint="eastAsia" w:ascii="仿宋_GB2312" w:hAnsi="宋体" w:eastAsia="仿宋_GB2312"/>
          <w:bCs/>
          <w:snapToGrid w:val="0"/>
          <w:kern w:val="0"/>
          <w:sz w:val="28"/>
          <w:szCs w:val="28"/>
        </w:rPr>
        <w:t xml:space="preserve">  </w:t>
      </w:r>
      <w:r>
        <w:rPr>
          <w:rFonts w:hint="eastAsia" w:ascii="仿宋_GB2312" w:hAnsi="宋体" w:eastAsia="仿宋_GB2312"/>
          <w:snapToGrid w:val="0"/>
          <w:kern w:val="0"/>
          <w:sz w:val="28"/>
          <w:szCs w:val="28"/>
        </w:rPr>
        <w:t>□甲方承担，乙方代垫，凭票据报销 □乙方承担  □甲方承担费用</w:t>
      </w:r>
      <w:r>
        <w:rPr>
          <w:rFonts w:hint="eastAsia" w:ascii="仿宋_GB2312" w:hAnsi="宋体" w:eastAsia="仿宋_GB2312"/>
          <w:snapToGrid w:val="0"/>
          <w:kern w:val="0"/>
          <w:sz w:val="28"/>
          <w:szCs w:val="28"/>
          <w:u w:val="single"/>
        </w:rPr>
        <w:t>　　        　　　</w:t>
      </w:r>
      <w:r>
        <w:rPr>
          <w:rFonts w:hint="eastAsia" w:ascii="仿宋_GB2312" w:hAnsi="宋体" w:eastAsia="仿宋_GB2312"/>
          <w:snapToGrid w:val="0"/>
          <w:kern w:val="0"/>
          <w:sz w:val="28"/>
          <w:szCs w:val="28"/>
        </w:rPr>
        <w:t>元，乙方包干使用  □其它</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黑体" w:hAnsi="宋体" w:eastAsia="黑体"/>
          <w:bCs/>
          <w:snapToGrid w:val="0"/>
          <w:kern w:val="0"/>
          <w:sz w:val="28"/>
          <w:szCs w:val="28"/>
        </w:rPr>
        <w:t>八、售后服务</w:t>
      </w:r>
      <w:r>
        <w:rPr>
          <w:rFonts w:hint="eastAsia" w:ascii="仿宋_GB2312" w:hAnsi="宋体" w:eastAsia="仿宋_GB2312"/>
          <w:bCs/>
          <w:snapToGrid w:val="0"/>
          <w:kern w:val="0"/>
          <w:sz w:val="28"/>
          <w:szCs w:val="28"/>
        </w:rPr>
        <w:t xml:space="preserve">  </w:t>
      </w:r>
      <w:r>
        <w:rPr>
          <w:rFonts w:hint="eastAsia" w:ascii="仿宋_GB2312" w:hAnsi="宋体" w:eastAsia="仿宋_GB2312"/>
          <w:snapToGrid w:val="0"/>
          <w:kern w:val="0"/>
          <w:sz w:val="28"/>
          <w:szCs w:val="28"/>
        </w:rPr>
        <w:t>□售后服务联系方式：固定电话</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，手机</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，电子邮箱</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□质保期</w:t>
      </w:r>
      <w:r>
        <w:rPr>
          <w:rFonts w:hint="eastAsia" w:ascii="仿宋_GB2312" w:hAnsi="宋体" w:eastAsia="仿宋_GB2312"/>
          <w:snapToGrid w:val="0"/>
          <w:kern w:val="0"/>
          <w:sz w:val="28"/>
          <w:szCs w:val="28"/>
          <w:u w:val="single"/>
        </w:rPr>
        <w:t>　　</w:t>
      </w:r>
      <w:r>
        <w:rPr>
          <w:rFonts w:hint="eastAsia" w:ascii="仿宋_GB2312" w:hAnsi="宋体" w:eastAsia="仿宋_GB2312"/>
          <w:kern w:val="0"/>
          <w:sz w:val="28"/>
          <w:szCs w:val="28"/>
          <w:u w:val="single"/>
          <w:lang w:val="zh-CN"/>
        </w:rPr>
        <w:t xml:space="preserve">     </w:t>
      </w:r>
      <w:r>
        <w:rPr>
          <w:rFonts w:hint="eastAsia" w:ascii="仿宋_GB2312" w:hAnsi="宋体" w:eastAsia="仿宋_GB2312"/>
          <w:snapToGrid w:val="0"/>
          <w:kern w:val="0"/>
          <w:sz w:val="28"/>
          <w:szCs w:val="28"/>
          <w:u w:val="single"/>
        </w:rPr>
        <w:t>　</w:t>
      </w:r>
      <w:r>
        <w:rPr>
          <w:rFonts w:hint="eastAsia" w:ascii="仿宋_GB2312" w:hAnsi="宋体" w:eastAsia="仿宋_GB2312"/>
          <w:snapToGrid w:val="0"/>
          <w:kern w:val="0"/>
          <w:sz w:val="28"/>
          <w:szCs w:val="28"/>
        </w:rPr>
        <w:t>。质保期内</w:t>
      </w:r>
      <w:r>
        <w:rPr>
          <w:rFonts w:hint="eastAsia" w:ascii="仿宋_GB2312" w:hAnsi="宋体" w:eastAsia="仿宋_GB2312"/>
          <w:snapToGrid w:val="0"/>
          <w:kern w:val="0"/>
          <w:sz w:val="28"/>
          <w:szCs w:val="28"/>
          <w:u w:val="single"/>
        </w:rPr>
        <w:t xml:space="preserve">       </w:t>
      </w:r>
      <w:r>
        <w:rPr>
          <w:rFonts w:hint="eastAsia" w:ascii="仿宋_GB2312" w:hAnsi="宋体" w:eastAsia="仿宋_GB2312"/>
          <w:kern w:val="0"/>
          <w:sz w:val="28"/>
          <w:szCs w:val="28"/>
          <w:u w:val="single"/>
          <w:lang w:val="zh-CN"/>
        </w:rPr>
        <w:t xml:space="preserve">  </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，超出质保期后</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spacing w:line="576" w:lineRule="exact"/>
        <w:ind w:firstLine="560" w:firstLineChars="200"/>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□保修期</w:t>
      </w:r>
      <w:r>
        <w:rPr>
          <w:rFonts w:hint="eastAsia" w:ascii="仿宋_GB2312" w:hAnsi="宋体" w:eastAsia="仿宋_GB2312"/>
          <w:snapToGrid w:val="0"/>
          <w:kern w:val="0"/>
          <w:sz w:val="28"/>
          <w:szCs w:val="28"/>
          <w:u w:val="single"/>
        </w:rPr>
        <w:t>　　   　　</w:t>
      </w:r>
      <w:r>
        <w:rPr>
          <w:rFonts w:hint="eastAsia" w:ascii="仿宋_GB2312" w:hAnsi="宋体" w:eastAsia="仿宋_GB2312"/>
          <w:snapToGrid w:val="0"/>
          <w:kern w:val="0"/>
          <w:sz w:val="28"/>
          <w:szCs w:val="28"/>
        </w:rPr>
        <w:t>。保修期内</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，超出保修期后</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□培训方式及费用承担</w:t>
      </w:r>
      <w:r>
        <w:rPr>
          <w:rFonts w:hint="eastAsia" w:ascii="仿宋_GB2312" w:hAnsi="宋体" w:eastAsia="仿宋_GB2312"/>
          <w:snapToGrid w:val="0"/>
          <w:kern w:val="0"/>
          <w:sz w:val="28"/>
          <w:szCs w:val="28"/>
          <w:u w:val="single"/>
        </w:rPr>
        <w:t xml:space="preserve">   </w:t>
      </w:r>
      <w:r>
        <w:rPr>
          <w:rFonts w:hint="eastAsia" w:ascii="仿宋_GB2312" w:hAnsi="宋体" w:eastAsia="仿宋_GB2312"/>
          <w:kern w:val="0"/>
          <w:sz w:val="28"/>
          <w:szCs w:val="28"/>
          <w:u w:val="single"/>
          <w:lang w:val="zh-CN"/>
        </w:rPr>
        <w:t xml:space="preserve">                         </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□其他</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color w:val="FF0000"/>
          <w:kern w:val="0"/>
          <w:sz w:val="28"/>
          <w:szCs w:val="28"/>
        </w:rPr>
      </w:pPr>
      <w:r>
        <w:rPr>
          <w:rFonts w:hint="eastAsia" w:ascii="黑体" w:hAnsi="宋体" w:eastAsia="黑体"/>
          <w:bCs/>
          <w:snapToGrid w:val="0"/>
          <w:color w:val="FF0000"/>
          <w:kern w:val="0"/>
          <w:sz w:val="28"/>
          <w:szCs w:val="28"/>
        </w:rPr>
        <w:t>九、资金结算</w:t>
      </w:r>
      <w:r>
        <w:rPr>
          <w:rFonts w:hint="eastAsia" w:ascii="仿宋_GB2312" w:hAnsi="宋体" w:eastAsia="仿宋_GB2312"/>
          <w:snapToGrid w:val="0"/>
          <w:color w:val="FF0000"/>
          <w:kern w:val="0"/>
          <w:sz w:val="28"/>
          <w:szCs w:val="28"/>
        </w:rPr>
        <w:t xml:space="preserve">  □自本合同签订生效之日起</w:t>
      </w:r>
      <w:r>
        <w:rPr>
          <w:rFonts w:hint="eastAsia" w:ascii="仿宋_GB2312" w:hAnsi="宋体" w:eastAsia="仿宋_GB2312"/>
          <w:snapToGrid w:val="0"/>
          <w:color w:val="FF0000"/>
          <w:kern w:val="0"/>
          <w:sz w:val="28"/>
          <w:szCs w:val="28"/>
          <w:u w:val="single"/>
        </w:rPr>
        <w:t xml:space="preserve">        </w:t>
      </w:r>
      <w:r>
        <w:rPr>
          <w:rFonts w:hint="eastAsia" w:ascii="仿宋_GB2312" w:hAnsi="宋体" w:eastAsia="仿宋_GB2312"/>
          <w:snapToGrid w:val="0"/>
          <w:color w:val="FF0000"/>
          <w:kern w:val="0"/>
          <w:sz w:val="28"/>
          <w:szCs w:val="28"/>
        </w:rPr>
        <w:t>天内，甲方向乙方支付合同总金额的</w:t>
      </w:r>
      <w:r>
        <w:rPr>
          <w:rFonts w:hint="eastAsia" w:ascii="仿宋_GB2312" w:hAnsi="宋体" w:eastAsia="仿宋_GB2312"/>
          <w:snapToGrid w:val="0"/>
          <w:color w:val="FF0000"/>
          <w:kern w:val="0"/>
          <w:sz w:val="28"/>
          <w:szCs w:val="28"/>
          <w:u w:val="single"/>
        </w:rPr>
        <w:t xml:space="preserve">      </w:t>
      </w:r>
      <w:r>
        <w:rPr>
          <w:rFonts w:hint="eastAsia" w:ascii="仿宋_GB2312" w:hAnsi="宋体" w:eastAsia="仿宋_GB2312"/>
          <w:snapToGrid w:val="0"/>
          <w:color w:val="FF0000"/>
          <w:kern w:val="0"/>
          <w:sz w:val="28"/>
          <w:szCs w:val="28"/>
        </w:rPr>
        <w:t>%的预付款。</w:t>
      </w:r>
      <w:r>
        <w:rPr>
          <w:rFonts w:ascii="仿宋_GB2312" w:hAnsi="宋体" w:eastAsia="仿宋_GB2312" w:cs="Times New Roman"/>
          <w:snapToGrid w:val="0"/>
          <w:color w:val="FF0000"/>
          <w:kern w:val="0"/>
          <w:sz w:val="28"/>
          <w:szCs w:val="28"/>
        </w:rPr>
        <w:t>□</w:t>
      </w:r>
      <w:r>
        <w:rPr>
          <w:rFonts w:hint="eastAsia" w:ascii="仿宋_GB2312" w:hAnsi="宋体" w:eastAsia="仿宋_GB2312" w:cs="Times New Roman"/>
          <w:snapToGrid w:val="0"/>
          <w:color w:val="FF0000"/>
          <w:kern w:val="0"/>
          <w:sz w:val="28"/>
          <w:szCs w:val="28"/>
        </w:rPr>
        <w:t>首检合格后再办理预付款。</w:t>
      </w:r>
      <w:r>
        <w:rPr>
          <w:rFonts w:hint="eastAsia" w:ascii="仿宋_GB2312" w:hAnsi="宋体" w:eastAsia="仿宋_GB2312"/>
          <w:snapToGrid w:val="0"/>
          <w:color w:val="FF0000"/>
          <w:kern w:val="0"/>
          <w:sz w:val="28"/>
          <w:szCs w:val="28"/>
        </w:rPr>
        <w:t>物资检验验收合格并完成交货后</w:t>
      </w:r>
      <w:r>
        <w:rPr>
          <w:rFonts w:hint="eastAsia" w:ascii="仿宋_GB2312" w:hAnsi="宋体" w:eastAsia="仿宋_GB2312"/>
          <w:snapToGrid w:val="0"/>
          <w:color w:val="FF0000"/>
          <w:kern w:val="0"/>
          <w:sz w:val="28"/>
          <w:szCs w:val="28"/>
          <w:u w:val="single"/>
        </w:rPr>
        <w:t xml:space="preserve">        </w:t>
      </w:r>
      <w:r>
        <w:rPr>
          <w:rFonts w:hint="eastAsia" w:ascii="仿宋_GB2312" w:hAnsi="宋体" w:eastAsia="仿宋_GB2312"/>
          <w:snapToGrid w:val="0"/>
          <w:color w:val="FF0000"/>
          <w:kern w:val="0"/>
          <w:sz w:val="28"/>
          <w:szCs w:val="28"/>
        </w:rPr>
        <w:t>天内，甲方凭乙方提供的相关票据单证，向乙方支付合同总金额的</w:t>
      </w:r>
      <w:r>
        <w:rPr>
          <w:rFonts w:hint="eastAsia" w:ascii="仿宋_GB2312" w:hAnsi="宋体" w:eastAsia="仿宋_GB2312"/>
          <w:snapToGrid w:val="0"/>
          <w:color w:val="FF0000"/>
          <w:kern w:val="0"/>
          <w:sz w:val="28"/>
          <w:szCs w:val="28"/>
          <w:u w:val="single"/>
        </w:rPr>
        <w:t xml:space="preserve"> 　   </w:t>
      </w:r>
      <w:r>
        <w:rPr>
          <w:rFonts w:hint="eastAsia" w:ascii="仿宋_GB2312" w:hAnsi="宋体" w:eastAsia="仿宋_GB2312"/>
          <w:snapToGrid w:val="0"/>
          <w:color w:val="FF0000"/>
          <w:kern w:val="0"/>
          <w:sz w:val="28"/>
          <w:szCs w:val="28"/>
        </w:rPr>
        <w:t>%， □余</w:t>
      </w:r>
      <w:r>
        <w:rPr>
          <w:rFonts w:hint="eastAsia" w:ascii="仿宋_GB2312" w:hAnsi="宋体" w:eastAsia="仿宋_GB2312"/>
          <w:snapToGrid w:val="0"/>
          <w:color w:val="FF0000"/>
          <w:kern w:val="0"/>
          <w:sz w:val="28"/>
          <w:szCs w:val="28"/>
          <w:u w:val="single"/>
        </w:rPr>
        <w:t xml:space="preserve">     </w:t>
      </w:r>
      <w:r>
        <w:rPr>
          <w:rFonts w:hint="eastAsia" w:ascii="仿宋_GB2312" w:hAnsi="宋体" w:eastAsia="仿宋_GB2312"/>
          <w:snapToGrid w:val="0"/>
          <w:color w:val="FF0000"/>
          <w:kern w:val="0"/>
          <w:sz w:val="28"/>
          <w:szCs w:val="28"/>
        </w:rPr>
        <w:t xml:space="preserve">%作为质量保证金，自交货之日起　□三个月　□六个月　□十二个月  </w:t>
      </w:r>
      <w:r>
        <w:rPr>
          <w:rFonts w:ascii="仿宋_GB2312" w:hAnsi="宋体" w:eastAsia="仿宋_GB2312" w:cs="Times New Roman"/>
          <w:snapToGrid w:val="0"/>
          <w:color w:val="FF0000"/>
          <w:kern w:val="0"/>
          <w:sz w:val="28"/>
          <w:szCs w:val="28"/>
        </w:rPr>
        <w:t>□</w:t>
      </w:r>
      <w:r>
        <w:rPr>
          <w:rFonts w:hint="eastAsia" w:ascii="仿宋_GB2312" w:hAnsi="宋体" w:eastAsia="仿宋_GB2312"/>
          <w:snapToGrid w:val="0"/>
          <w:color w:val="FF0000"/>
          <w:kern w:val="0"/>
          <w:sz w:val="28"/>
          <w:szCs w:val="28"/>
          <w:u w:val="single"/>
        </w:rPr>
        <w:t xml:space="preserve">      </w:t>
      </w:r>
      <w:r>
        <w:rPr>
          <w:rFonts w:hint="eastAsia" w:ascii="仿宋_GB2312" w:hAnsi="宋体" w:eastAsia="仿宋_GB2312"/>
          <w:snapToGrid w:val="0"/>
          <w:color w:val="FF0000"/>
          <w:kern w:val="0"/>
          <w:sz w:val="28"/>
          <w:szCs w:val="28"/>
        </w:rPr>
        <w:t xml:space="preserve"> </w:t>
      </w:r>
      <w:r>
        <w:rPr>
          <w:rFonts w:hint="eastAsia" w:ascii="仿宋_GB2312" w:hAnsi="宋体" w:eastAsia="仿宋_GB2312" w:cs="Times New Roman"/>
          <w:snapToGrid w:val="0"/>
          <w:color w:val="FF0000"/>
          <w:kern w:val="0"/>
          <w:sz w:val="28"/>
          <w:szCs w:val="28"/>
        </w:rPr>
        <w:t>月</w:t>
      </w:r>
      <w:r>
        <w:rPr>
          <w:rFonts w:hint="eastAsia" w:ascii="仿宋_GB2312" w:hAnsi="宋体" w:eastAsia="仿宋_GB2312"/>
          <w:snapToGrid w:val="0"/>
          <w:color w:val="FF0000"/>
          <w:kern w:val="0"/>
          <w:sz w:val="28"/>
          <w:szCs w:val="28"/>
        </w:rPr>
        <w:t>正常使用且无质量问题时，一次性结清。  □最终结算按审价报告执行。</w:t>
      </w:r>
    </w:p>
    <w:p>
      <w:pPr>
        <w:adjustRightInd w:val="0"/>
        <w:snapToGrid w:val="0"/>
        <w:spacing w:line="576" w:lineRule="exact"/>
        <w:ind w:firstLine="548" w:firstLineChars="196"/>
        <w:jc w:val="left"/>
        <w:rPr>
          <w:rFonts w:ascii="仿宋_GB2312" w:hAnsi="宋体" w:eastAsia="仿宋_GB2312"/>
          <w:bCs/>
          <w:snapToGrid w:val="0"/>
          <w:kern w:val="0"/>
          <w:sz w:val="28"/>
          <w:szCs w:val="28"/>
        </w:rPr>
      </w:pPr>
      <w:r>
        <w:rPr>
          <w:rFonts w:hint="eastAsia" w:ascii="黑体" w:hAnsi="宋体" w:eastAsia="黑体"/>
          <w:bCs/>
          <w:snapToGrid w:val="0"/>
          <w:kern w:val="0"/>
          <w:sz w:val="28"/>
          <w:szCs w:val="28"/>
        </w:rPr>
        <w:t>十、知识产权</w:t>
      </w:r>
      <w:r>
        <w:rPr>
          <w:rFonts w:hint="eastAsia" w:ascii="仿宋_GB2312" w:hAnsi="宋体" w:eastAsia="仿宋_GB2312"/>
          <w:bCs/>
          <w:snapToGrid w:val="0"/>
          <w:kern w:val="0"/>
          <w:sz w:val="28"/>
          <w:szCs w:val="28"/>
        </w:rPr>
        <w:t xml:space="preserve">  乙方应保证甲方使用其提供的物资时不受第三方关于侵犯专利权、商标权和工业设计权的指控，甲方不承担任何连带责任和赔偿责任。</w:t>
      </w:r>
    </w:p>
    <w:p>
      <w:pPr>
        <w:adjustRightInd w:val="0"/>
        <w:snapToGrid w:val="0"/>
        <w:spacing w:line="576" w:lineRule="exact"/>
        <w:ind w:firstLine="548" w:firstLineChars="196"/>
        <w:jc w:val="left"/>
        <w:rPr>
          <w:rFonts w:ascii="仿宋_GB2312" w:hAnsi="宋体" w:eastAsia="仿宋_GB2312"/>
          <w:bCs/>
          <w:snapToGrid w:val="0"/>
          <w:kern w:val="0"/>
          <w:sz w:val="28"/>
          <w:szCs w:val="28"/>
        </w:rPr>
      </w:pPr>
      <w:r>
        <w:rPr>
          <w:rFonts w:hint="eastAsia" w:ascii="黑体" w:hAnsi="宋体" w:eastAsia="黑体"/>
          <w:bCs/>
          <w:snapToGrid w:val="0"/>
          <w:kern w:val="0"/>
          <w:sz w:val="28"/>
          <w:szCs w:val="28"/>
        </w:rPr>
        <w:t>十一、保密责任</w:t>
      </w:r>
      <w:r>
        <w:rPr>
          <w:rFonts w:hint="eastAsia" w:ascii="仿宋_GB2312" w:hAnsi="宋体" w:eastAsia="仿宋_GB2312"/>
          <w:bCs/>
          <w:snapToGrid w:val="0"/>
          <w:kern w:val="0"/>
          <w:sz w:val="28"/>
          <w:szCs w:val="28"/>
        </w:rPr>
        <w:t xml:space="preserve"> </w:t>
      </w:r>
      <w:r>
        <w:rPr>
          <w:rFonts w:hint="eastAsia" w:ascii="仿宋_GB2312" w:hAnsi="宋体" w:eastAsia="仿宋_GB2312"/>
          <w:snapToGrid w:val="0"/>
          <w:kern w:val="0"/>
          <w:sz w:val="28"/>
          <w:szCs w:val="28"/>
        </w:rPr>
        <w:t>□甲方对乙方的商业秘密应当保密  □</w:t>
      </w:r>
      <w:r>
        <w:rPr>
          <w:rFonts w:hint="eastAsia" w:ascii="仿宋_GB2312" w:hAnsi="宋体" w:eastAsia="仿宋_GB2312"/>
          <w:bCs/>
          <w:snapToGrid w:val="0"/>
          <w:kern w:val="0"/>
          <w:sz w:val="28"/>
          <w:szCs w:val="28"/>
        </w:rPr>
        <w:t xml:space="preserve">乙方对本合同的签订、履行及解除等事项保密， </w:t>
      </w:r>
      <w:r>
        <w:rPr>
          <w:rFonts w:hint="eastAsia" w:ascii="仿宋_GB2312" w:hAnsi="宋体" w:eastAsia="仿宋_GB2312"/>
          <w:snapToGrid w:val="0"/>
          <w:kern w:val="0"/>
          <w:sz w:val="28"/>
          <w:szCs w:val="28"/>
        </w:rPr>
        <w:t>□涉及物资的全部技术资料等未经甲方同意乙方不得向社会公开 □乙方应对甲方委托送货的发运单、接收单位目录和售后服务单位目录等资料，按密级管理，不得泄密。 □其他</w:t>
      </w:r>
      <w:r>
        <w:rPr>
          <w:rFonts w:hint="eastAsia" w:ascii="仿宋_GB2312" w:hAnsi="宋体" w:eastAsia="仿宋_GB2312"/>
          <w:bCs/>
          <w:snapToGrid w:val="0"/>
          <w:kern w:val="0"/>
          <w:sz w:val="28"/>
          <w:szCs w:val="28"/>
          <w:u w:val="single"/>
        </w:rPr>
        <w:t xml:space="preserve">       </w:t>
      </w:r>
      <w:r>
        <w:rPr>
          <w:rFonts w:hint="eastAsia" w:ascii="仿宋_GB2312" w:hAnsi="宋体" w:eastAsia="仿宋_GB2312"/>
          <w:bCs/>
          <w:snapToGrid w:val="0"/>
          <w:kern w:val="0"/>
          <w:sz w:val="28"/>
          <w:szCs w:val="28"/>
        </w:rPr>
        <w:t>。</w:t>
      </w:r>
    </w:p>
    <w:p>
      <w:pPr>
        <w:spacing w:line="576" w:lineRule="exact"/>
        <w:ind w:firstLine="560" w:firstLineChars="200"/>
        <w:rPr>
          <w:rFonts w:ascii="仿宋_GB2312" w:hAnsi="宋体" w:eastAsia="仿宋_GB2312"/>
          <w:snapToGrid w:val="0"/>
          <w:kern w:val="0"/>
          <w:sz w:val="28"/>
          <w:szCs w:val="28"/>
        </w:rPr>
      </w:pPr>
      <w:r>
        <w:rPr>
          <w:rFonts w:hint="eastAsia" w:ascii="黑体" w:hAnsi="宋体" w:eastAsia="黑体"/>
          <w:bCs/>
          <w:snapToGrid w:val="0"/>
          <w:kern w:val="0"/>
          <w:sz w:val="28"/>
          <w:szCs w:val="28"/>
        </w:rPr>
        <w:t>十二、合同变更与解除</w:t>
      </w:r>
      <w:r>
        <w:rPr>
          <w:rFonts w:hint="eastAsia" w:ascii="仿宋_GB2312" w:hAnsi="宋体" w:eastAsia="仿宋_GB2312"/>
          <w:bCs/>
          <w:snapToGrid w:val="0"/>
          <w:kern w:val="0"/>
          <w:sz w:val="28"/>
          <w:szCs w:val="28"/>
        </w:rPr>
        <w:t xml:space="preserve">  </w:t>
      </w:r>
      <w:r>
        <w:rPr>
          <w:rFonts w:hint="eastAsia" w:ascii="仿宋_GB2312" w:hAnsi="宋体" w:eastAsia="仿宋_GB2312"/>
          <w:snapToGrid w:val="0"/>
          <w:kern w:val="0"/>
          <w:sz w:val="28"/>
          <w:szCs w:val="28"/>
        </w:rPr>
        <w:t xml:space="preserve">□甲乙双方任何一方要求变更、解除或终止合同时，应及时通知对方，并采用书面形式由双方达成协议  □甲方因任务取消等情况，可以变更或解除合同，给乙方造成损失的，甲方应当赔偿  □乙方不能履行合同时，甲方有权解除合同，给甲方造成损失的，乙方应当赔偿   □未经甲方允许，乙方不得部分或全部转让其应履行的合同义务  </w:t>
      </w:r>
      <w:r>
        <w:rPr>
          <w:rFonts w:ascii="仿宋_GB2312" w:hAnsi="宋体" w:eastAsia="仿宋_GB2312" w:cs="Times New Roman"/>
          <w:snapToGrid w:val="0"/>
          <w:kern w:val="0"/>
          <w:sz w:val="28"/>
          <w:szCs w:val="28"/>
        </w:rPr>
        <w:t>□</w:t>
      </w:r>
      <w:r>
        <w:rPr>
          <w:rFonts w:hint="eastAsia" w:ascii="仿宋_GB2312" w:hAnsi="宋体" w:eastAsia="仿宋_GB2312" w:cs="Times New Roman"/>
          <w:snapToGrid w:val="0"/>
          <w:kern w:val="0"/>
          <w:sz w:val="28"/>
          <w:szCs w:val="28"/>
        </w:rPr>
        <w:t>产品出厂验收不合格，甲方有权拒收货物和支付货款，由此造成的一切损失由乙方承担</w:t>
      </w:r>
      <w:r>
        <w:rPr>
          <w:rFonts w:hint="eastAsia" w:ascii="仿宋_GB2312" w:hAnsi="宋体" w:eastAsia="仿宋_GB2312"/>
          <w:snapToGrid w:val="0"/>
          <w:kern w:val="0"/>
          <w:sz w:val="28"/>
          <w:szCs w:val="28"/>
        </w:rPr>
        <w:t xml:space="preserve">   □其他</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sz w:val="28"/>
          <w:szCs w:val="28"/>
          <w:u w:val="single"/>
        </w:rPr>
        <w:t xml:space="preserve">        </w:t>
      </w:r>
    </w:p>
    <w:p>
      <w:pPr>
        <w:spacing w:line="576" w:lineRule="exact"/>
        <w:ind w:firstLine="560" w:firstLineChars="200"/>
        <w:rPr>
          <w:rFonts w:ascii="仿宋_GB2312" w:hAnsi="宋体" w:eastAsia="仿宋_GB2312"/>
          <w:sz w:val="28"/>
          <w:szCs w:val="28"/>
          <w:u w:val="single"/>
        </w:rPr>
      </w:pPr>
      <w:r>
        <w:rPr>
          <w:rFonts w:hint="eastAsia" w:ascii="黑体" w:hAnsi="宋体" w:eastAsia="黑体"/>
          <w:bCs/>
          <w:snapToGrid w:val="0"/>
          <w:kern w:val="0"/>
          <w:sz w:val="28"/>
          <w:szCs w:val="28"/>
        </w:rPr>
        <w:t>十三、违约责任</w:t>
      </w:r>
      <w:r>
        <w:rPr>
          <w:rFonts w:hint="eastAsia" w:ascii="仿宋_GB2312" w:hAnsi="宋体" w:eastAsia="仿宋_GB2312"/>
          <w:snapToGrid w:val="0"/>
          <w:kern w:val="0"/>
          <w:sz w:val="28"/>
          <w:szCs w:val="28"/>
        </w:rPr>
        <w:t xml:space="preserve">  甲乙任何一方未经对方允许而违约时，违约方应向对方支付违约金，按</w:t>
      </w:r>
      <w:r>
        <w:rPr>
          <w:rFonts w:hint="eastAsia" w:ascii="仿宋_GB2312" w:hAnsi="宋体" w:eastAsia="仿宋_GB2312"/>
          <w:snapToGrid w:val="0"/>
          <w:kern w:val="0"/>
          <w:sz w:val="28"/>
          <w:szCs w:val="28"/>
          <w:u w:val="single"/>
        </w:rPr>
        <w:t xml:space="preserve"> </w:t>
      </w:r>
      <w:r>
        <w:rPr>
          <w:rFonts w:hint="eastAsia" w:ascii="仿宋_GB2312" w:hAnsi="宋体" w:eastAsia="仿宋_GB2312"/>
          <w:sz w:val="28"/>
          <w:szCs w:val="28"/>
          <w:u w:val="single"/>
        </w:rPr>
        <w:t xml:space="preserve">                   </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执行，违约金最高限额为合同总金额的</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%，违约金达到最高限额违约方仍不能完全履行合同时，另一方可以终止合同，造成的实际损失大于最高违约金时，违约方要给予足额赔偿。</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甲乙双方任何一方由于不可抗力影响合同履行时都要在灾害发生36小时内将情况通知另一方，在灾害发生后14天内向另一方出具权威部门的证明文件。如果不可抗力影响连续120天以上时，双方可以重新商定合同履行问题。</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黑体" w:hAnsi="宋体" w:eastAsia="黑体"/>
          <w:bCs/>
          <w:snapToGrid w:val="0"/>
          <w:kern w:val="0"/>
          <w:sz w:val="28"/>
          <w:szCs w:val="28"/>
        </w:rPr>
        <w:t>十四、合同争议解决方式</w:t>
      </w:r>
      <w:r>
        <w:rPr>
          <w:rFonts w:hint="eastAsia" w:ascii="仿宋_GB2312" w:hAnsi="宋体" w:eastAsia="仿宋_GB2312"/>
          <w:snapToGrid w:val="0"/>
          <w:kern w:val="0"/>
          <w:sz w:val="28"/>
          <w:szCs w:val="28"/>
        </w:rPr>
        <w:t xml:space="preserve">  □甲乙双方协商解决　□提交甲方或乙方主管部门调解  □提交</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仲裁委员会仲裁  □依法向</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人民法院起诉。</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黑体" w:hAnsi="宋体" w:eastAsia="黑体"/>
          <w:bCs/>
          <w:snapToGrid w:val="0"/>
          <w:kern w:val="0"/>
          <w:sz w:val="28"/>
          <w:szCs w:val="28"/>
        </w:rPr>
        <w:t>十五、合同生效</w:t>
      </w:r>
      <w:r>
        <w:rPr>
          <w:rFonts w:hint="eastAsia" w:ascii="仿宋_GB2312" w:hAnsi="宋体" w:eastAsia="仿宋_GB2312"/>
          <w:snapToGrid w:val="0"/>
          <w:kern w:val="0"/>
          <w:sz w:val="28"/>
          <w:szCs w:val="28"/>
        </w:rPr>
        <w:t xml:space="preserve">  □草本合同由甲乙双方法定代表人或委托代理人签字并经单位盖章，由甲方报上级有关部门审批通过后，签订正式合同。</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□正式合同由甲乙双方法定代表人或委托代理人签字并经单位盖章后生效。</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正式合同一式</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份，正本两份，甲乙双方各执一份，副本</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份，正副本合同具有同等法律效力。□合同有效期限</w:t>
      </w:r>
      <w:r>
        <w:rPr>
          <w:rFonts w:hint="eastAsia" w:ascii="仿宋_GB2312" w:hAnsi="宋体" w:eastAsia="仿宋_GB2312"/>
          <w:snapToGrid w:val="0"/>
          <w:kern w:val="0"/>
          <w:sz w:val="28"/>
          <w:szCs w:val="28"/>
          <w:u w:val="single"/>
        </w:rPr>
        <w:t xml:space="preserve">  </w:t>
      </w:r>
      <w:r>
        <w:rPr>
          <w:rFonts w:hint="eastAsia" w:ascii="仿宋_GB2312" w:hAnsi="宋体" w:eastAsia="仿宋_GB2312"/>
          <w:sz w:val="28"/>
          <w:szCs w:val="28"/>
          <w:u w:val="single"/>
        </w:rPr>
        <w:t xml:space="preserve">                        </w:t>
      </w:r>
      <w:r>
        <w:rPr>
          <w:rFonts w:hint="eastAsia" w:ascii="仿宋_GB2312" w:hAnsi="宋体" w:eastAsia="仿宋_GB2312"/>
          <w:snapToGrid w:val="0"/>
          <w:kern w:val="0"/>
          <w:sz w:val="28"/>
          <w:szCs w:val="28"/>
          <w:u w:val="single"/>
        </w:rPr>
        <w:t xml:space="preserve">  </w:t>
      </w:r>
      <w:r>
        <w:rPr>
          <w:rFonts w:hint="eastAsia" w:ascii="仿宋_GB2312" w:hAnsi="宋体" w:eastAsia="仿宋_GB2312"/>
          <w:snapToGrid w:val="0"/>
          <w:kern w:val="0"/>
          <w:sz w:val="28"/>
          <w:szCs w:val="28"/>
        </w:rPr>
        <w:t>。</w:t>
      </w:r>
    </w:p>
    <w:p>
      <w:pPr>
        <w:adjustRightInd w:val="0"/>
        <w:snapToGrid w:val="0"/>
        <w:spacing w:line="576" w:lineRule="exact"/>
        <w:ind w:firstLine="548" w:firstLineChars="196"/>
        <w:jc w:val="left"/>
        <w:rPr>
          <w:rFonts w:ascii="仿宋_GB2312" w:hAnsi="宋体" w:eastAsia="仿宋_GB2312"/>
          <w:snapToGrid w:val="0"/>
          <w:kern w:val="0"/>
          <w:sz w:val="28"/>
          <w:szCs w:val="28"/>
        </w:rPr>
      </w:pPr>
      <w:r>
        <w:rPr>
          <w:rFonts w:hint="eastAsia" w:ascii="黑体" w:hAnsi="宋体" w:eastAsia="黑体"/>
          <w:bCs/>
          <w:snapToGrid w:val="0"/>
          <w:kern w:val="0"/>
          <w:sz w:val="28"/>
          <w:szCs w:val="28"/>
        </w:rPr>
        <w:t>十六、</w:t>
      </w:r>
      <w:r>
        <w:rPr>
          <w:rFonts w:hint="eastAsia" w:ascii="黑体" w:hAnsi="宋体" w:eastAsia="黑体"/>
          <w:snapToGrid w:val="0"/>
          <w:kern w:val="0"/>
          <w:sz w:val="28"/>
          <w:szCs w:val="28"/>
        </w:rPr>
        <w:t>合同附件</w:t>
      </w:r>
      <w:r>
        <w:rPr>
          <w:rFonts w:hint="eastAsia" w:ascii="仿宋_GB2312" w:hAnsi="宋体" w:eastAsia="仿宋_GB2312"/>
          <w:snapToGrid w:val="0"/>
          <w:kern w:val="0"/>
          <w:sz w:val="28"/>
          <w:szCs w:val="28"/>
        </w:rPr>
        <w:t xml:space="preserve">  □</w:t>
      </w:r>
      <w:r>
        <w:rPr>
          <w:rFonts w:hint="eastAsia" w:ascii="仿宋_GB2312" w:hAnsi="宋体" w:eastAsia="仿宋_GB2312" w:cs="Times New Roman"/>
          <w:snapToGrid w:val="0"/>
          <w:kern w:val="0"/>
          <w:sz w:val="28"/>
          <w:szCs w:val="28"/>
        </w:rPr>
        <w:t>1.交货清单</w:t>
      </w:r>
      <w:r>
        <w:rPr>
          <w:rFonts w:hint="eastAsia" w:ascii="仿宋_GB2312" w:hAnsi="宋体" w:eastAsia="仿宋_GB2312"/>
          <w:snapToGrid w:val="0"/>
          <w:kern w:val="0"/>
          <w:sz w:val="28"/>
          <w:szCs w:val="28"/>
        </w:rPr>
        <w:t>□</w:t>
      </w:r>
      <w:r>
        <w:rPr>
          <w:rFonts w:hint="eastAsia" w:ascii="仿宋_GB2312" w:hAnsi="宋体" w:eastAsia="仿宋_GB2312" w:cs="Times New Roman"/>
          <w:snapToGrid w:val="0"/>
          <w:kern w:val="0"/>
          <w:sz w:val="28"/>
          <w:szCs w:val="28"/>
        </w:rPr>
        <w:t>2.主要技术指标参数</w:t>
      </w:r>
      <w:r>
        <w:rPr>
          <w:rFonts w:hint="eastAsia" w:ascii="仿宋_GB2312" w:hAnsi="宋体" w:eastAsia="仿宋_GB2312"/>
          <w:snapToGrid w:val="0"/>
          <w:kern w:val="0"/>
          <w:sz w:val="28"/>
          <w:szCs w:val="28"/>
        </w:rPr>
        <w:t>□</w:t>
      </w:r>
      <w:r>
        <w:rPr>
          <w:rFonts w:hint="eastAsia" w:ascii="仿宋_GB2312" w:hAnsi="宋体" w:eastAsia="仿宋_GB2312" w:cs="Times New Roman"/>
          <w:snapToGrid w:val="0"/>
          <w:kern w:val="0"/>
          <w:sz w:val="28"/>
          <w:szCs w:val="28"/>
        </w:rPr>
        <w:t>3.售后服务承诺□4.易损易耗件清单□详见供方参与采购方XXX项目（项目编号：XXX）响应文件和评审现场承诺，本合同不另附。</w:t>
      </w:r>
    </w:p>
    <w:p>
      <w:pPr>
        <w:adjustRightInd w:val="0"/>
        <w:snapToGrid w:val="0"/>
        <w:spacing w:line="576" w:lineRule="exact"/>
        <w:ind w:firstLine="548" w:firstLineChars="196"/>
        <w:jc w:val="left"/>
        <w:rPr>
          <w:rFonts w:ascii="仿宋_GB2312" w:hAnsi="宋体" w:eastAsia="仿宋_GB2312"/>
          <w:snapToGrid w:val="0"/>
          <w:kern w:val="0"/>
          <w:sz w:val="28"/>
          <w:szCs w:val="28"/>
          <w:u w:val="single"/>
        </w:rPr>
      </w:pPr>
      <w:r>
        <w:rPr>
          <w:rFonts w:hint="eastAsia" w:ascii="黑体" w:hAnsi="宋体" w:eastAsia="黑体"/>
          <w:bCs/>
          <w:snapToGrid w:val="0"/>
          <w:kern w:val="0"/>
          <w:sz w:val="28"/>
          <w:szCs w:val="28"/>
        </w:rPr>
        <w:t xml:space="preserve">十七、其    他 </w:t>
      </w:r>
      <w:r>
        <w:rPr>
          <w:rFonts w:hint="eastAsia" w:ascii="黑体" w:hAnsi="宋体" w:eastAsia="黑体"/>
          <w:snapToGrid w:val="0"/>
          <w:kern w:val="0"/>
          <w:sz w:val="28"/>
          <w:szCs w:val="28"/>
          <w:u w:val="single"/>
        </w:rPr>
        <w:t xml:space="preserve">               </w:t>
      </w:r>
      <w:r>
        <w:rPr>
          <w:rFonts w:hint="eastAsia" w:ascii="仿宋_GB2312" w:hAnsi="宋体" w:eastAsia="仿宋_GB2312"/>
          <w:snapToGrid w:val="0"/>
          <w:kern w:val="0"/>
          <w:sz w:val="28"/>
          <w:szCs w:val="28"/>
          <w:u w:val="single"/>
        </w:rPr>
        <w:t xml:space="preserve">  </w:t>
      </w:r>
    </w:p>
    <w:p>
      <w:pPr>
        <w:adjustRightInd w:val="0"/>
        <w:snapToGrid w:val="0"/>
        <w:spacing w:line="576" w:lineRule="exact"/>
        <w:ind w:firstLine="548" w:firstLineChars="196"/>
        <w:jc w:val="left"/>
        <w:rPr>
          <w:rFonts w:ascii="黑体" w:hAnsi="宋体" w:eastAsia="黑体"/>
          <w:snapToGrid w:val="0"/>
          <w:kern w:val="0"/>
          <w:sz w:val="28"/>
          <w:szCs w:val="28"/>
          <w:u w:val="single"/>
        </w:rPr>
      </w:pPr>
      <w:r>
        <w:rPr>
          <w:rFonts w:hint="eastAsia" w:ascii="黑体" w:hAnsi="宋体" w:eastAsia="黑体"/>
          <w:bCs/>
          <w:snapToGrid w:val="0"/>
          <w:kern w:val="0"/>
          <w:sz w:val="28"/>
          <w:szCs w:val="28"/>
        </w:rPr>
        <w:t>十八、</w:t>
      </w:r>
      <w:r>
        <w:rPr>
          <w:rFonts w:hint="eastAsia" w:ascii="仿宋_GB2312" w:hAnsi="宋体" w:eastAsia="仿宋_GB2312" w:cs="Times New Roman"/>
          <w:snapToGrid w:val="0"/>
          <w:kern w:val="0"/>
          <w:sz w:val="28"/>
          <w:szCs w:val="28"/>
        </w:rPr>
        <w:t>未尽事宜由甲乙双方协商确定。</w:t>
      </w:r>
    </w:p>
    <w:p>
      <w:pPr>
        <w:spacing w:line="576" w:lineRule="exact"/>
        <w:ind w:firstLine="560" w:firstLineChars="200"/>
        <w:rPr>
          <w:rFonts w:ascii="仿宋_GB2312" w:eastAsia="仿宋_GB2312"/>
          <w:sz w:val="28"/>
          <w:szCs w:val="28"/>
        </w:rPr>
        <w:sectPr>
          <w:headerReference r:id="rId7" w:type="default"/>
          <w:pgSz w:w="11906" w:h="16838"/>
          <w:pgMar w:top="1440" w:right="1440" w:bottom="1440" w:left="1440" w:header="851" w:footer="851" w:gutter="0"/>
          <w:cols w:space="720" w:num="1"/>
          <w:docGrid w:linePitch="579" w:charSpace="-1844"/>
        </w:sectPr>
      </w:pPr>
      <w:r>
        <w:rPr>
          <w:rFonts w:hint="eastAsia" w:ascii="黑体" w:eastAsia="黑体"/>
          <w:sz w:val="28"/>
          <w:szCs w:val="28"/>
        </w:rPr>
        <w:t>说明：</w:t>
      </w:r>
      <w:r>
        <w:rPr>
          <w:rFonts w:hint="eastAsia" w:ascii="仿宋_GB2312" w:eastAsia="仿宋_GB2312"/>
          <w:sz w:val="28"/>
          <w:szCs w:val="28"/>
        </w:rPr>
        <w:t>1.本合同以中文打印。在适用的条款“□”中打“√”，未包含内容在“□其它</w:t>
      </w:r>
      <w:r>
        <w:rPr>
          <w:rFonts w:hint="eastAsia" w:ascii="仿宋_GB2312" w:eastAsia="仿宋_GB2312"/>
          <w:sz w:val="28"/>
          <w:szCs w:val="28"/>
          <w:u w:val="single"/>
        </w:rPr>
        <w:t xml:space="preserve">     </w:t>
      </w:r>
      <w:r>
        <w:rPr>
          <w:rFonts w:hint="eastAsia" w:ascii="仿宋_GB2312" w:eastAsia="仿宋_GB2312"/>
          <w:sz w:val="28"/>
          <w:szCs w:val="28"/>
        </w:rPr>
        <w:t>”栏目中填写 2. 本合同依据《中华人民共和国合同法》制定。</w:t>
      </w:r>
    </w:p>
    <w:bookmarkEnd w:id="25"/>
    <w:bookmarkEnd w:id="26"/>
    <w:bookmarkEnd w:id="27"/>
    <w:bookmarkEnd w:id="28"/>
    <w:p>
      <w:pPr>
        <w:spacing w:line="560" w:lineRule="exact"/>
        <w:jc w:val="center"/>
        <w:outlineLvl w:val="0"/>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第五部分  附件/响应文件格式</w:t>
      </w:r>
    </w:p>
    <w:p>
      <w:pPr>
        <w:spacing w:line="580" w:lineRule="exact"/>
        <w:rPr>
          <w:rFonts w:ascii="Times New Roman" w:hAnsi="Times New Roman" w:eastAsia="宋体" w:cs="Times New Roman"/>
          <w:kern w:val="0"/>
          <w:sz w:val="28"/>
          <w:szCs w:val="28"/>
        </w:rPr>
      </w:pP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附件1：开标一览表</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附件2：价格构成表</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附件3：货物材料、部件、工具价格明细表</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附件4：投标函</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附件5：货物简要说明一览表</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附件6：主要技术性能参数表</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附件7：技术指标参数响应偏离表</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附件8：主要商务条款响应偏离表</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附件9：交货清单</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ascii="仿宋_GB2312" w:hAnsi="宋体" w:eastAsia="仿宋_GB2312" w:cs="Times New Roman"/>
          <w:kern w:val="0"/>
          <w:sz w:val="32"/>
          <w:szCs w:val="32"/>
        </w:rPr>
        <w:t>0</w:t>
      </w:r>
      <w:r>
        <w:rPr>
          <w:rFonts w:hint="eastAsia" w:ascii="仿宋_GB2312" w:hAnsi="宋体" w:eastAsia="仿宋_GB2312" w:cs="Times New Roman"/>
          <w:kern w:val="0"/>
          <w:sz w:val="32"/>
          <w:szCs w:val="32"/>
        </w:rPr>
        <w:t>：谈判保证金</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ascii="仿宋_GB2312" w:hAnsi="宋体" w:eastAsia="仿宋_GB2312" w:cs="Times New Roman"/>
          <w:kern w:val="0"/>
          <w:sz w:val="32"/>
          <w:szCs w:val="32"/>
        </w:rPr>
        <w:t>1</w:t>
      </w:r>
      <w:r>
        <w:rPr>
          <w:rFonts w:hint="eastAsia" w:ascii="仿宋_GB2312" w:hAnsi="宋体" w:eastAsia="仿宋_GB2312" w:cs="Times New Roman"/>
          <w:kern w:val="0"/>
          <w:sz w:val="32"/>
          <w:szCs w:val="32"/>
        </w:rPr>
        <w:t>：整体实施计划及施工方案</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ascii="仿宋_GB2312" w:hAnsi="宋体" w:eastAsia="仿宋_GB2312" w:cs="Times New Roman"/>
          <w:kern w:val="0"/>
          <w:sz w:val="32"/>
          <w:szCs w:val="32"/>
        </w:rPr>
        <w:t>2</w:t>
      </w:r>
      <w:r>
        <w:rPr>
          <w:rFonts w:hint="eastAsia" w:ascii="仿宋_GB2312" w:hAnsi="宋体" w:eastAsia="仿宋_GB2312" w:cs="Times New Roman"/>
          <w:kern w:val="0"/>
          <w:sz w:val="32"/>
          <w:szCs w:val="32"/>
        </w:rPr>
        <w:t>：售后服务及承诺</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ascii="仿宋_GB2312" w:hAnsi="宋体" w:eastAsia="仿宋_GB2312" w:cs="Times New Roman"/>
          <w:kern w:val="0"/>
          <w:sz w:val="32"/>
          <w:szCs w:val="32"/>
        </w:rPr>
        <w:t>3</w:t>
      </w:r>
      <w:r>
        <w:rPr>
          <w:rFonts w:hint="eastAsia" w:ascii="仿宋_GB2312" w:hAnsi="宋体" w:eastAsia="仿宋_GB2312" w:cs="Times New Roman"/>
          <w:kern w:val="0"/>
          <w:sz w:val="32"/>
          <w:szCs w:val="32"/>
        </w:rPr>
        <w:t>：保密承诺书</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ascii="仿宋_GB2312" w:hAnsi="宋体" w:eastAsia="仿宋_GB2312" w:cs="Times New Roman"/>
          <w:kern w:val="0"/>
          <w:sz w:val="32"/>
          <w:szCs w:val="32"/>
        </w:rPr>
        <w:t>4</w:t>
      </w:r>
      <w:r>
        <w:rPr>
          <w:rFonts w:hint="eastAsia" w:ascii="仿宋_GB2312" w:hAnsi="宋体" w:eastAsia="仿宋_GB2312" w:cs="Times New Roman"/>
          <w:kern w:val="0"/>
          <w:sz w:val="32"/>
          <w:szCs w:val="32"/>
        </w:rPr>
        <w:t>：近3年中标成交案例及同类项目案例</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ascii="仿宋_GB2312" w:hAnsi="宋体" w:eastAsia="仿宋_GB2312" w:cs="Times New Roman"/>
          <w:kern w:val="0"/>
          <w:sz w:val="32"/>
          <w:szCs w:val="32"/>
        </w:rPr>
        <w:t>5</w:t>
      </w:r>
      <w:r>
        <w:rPr>
          <w:rFonts w:hint="eastAsia" w:ascii="仿宋_GB2312" w:hAnsi="宋体" w:eastAsia="仿宋_GB2312" w:cs="Times New Roman"/>
          <w:kern w:val="0"/>
          <w:sz w:val="32"/>
          <w:szCs w:val="32"/>
        </w:rPr>
        <w:t>：法定代表人资格证明书</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ascii="仿宋_GB2312" w:hAnsi="宋体" w:eastAsia="仿宋_GB2312" w:cs="Times New Roman"/>
          <w:kern w:val="0"/>
          <w:sz w:val="32"/>
          <w:szCs w:val="32"/>
        </w:rPr>
        <w:t>6</w:t>
      </w:r>
      <w:r>
        <w:rPr>
          <w:rFonts w:hint="eastAsia" w:ascii="仿宋_GB2312" w:hAnsi="宋体" w:eastAsia="仿宋_GB2312" w:cs="Times New Roman"/>
          <w:kern w:val="0"/>
          <w:sz w:val="32"/>
          <w:szCs w:val="32"/>
        </w:rPr>
        <w:t>：法定代表人授权书</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ascii="仿宋_GB2312" w:hAnsi="宋体" w:eastAsia="仿宋_GB2312" w:cs="Times New Roman"/>
          <w:kern w:val="0"/>
          <w:sz w:val="32"/>
          <w:szCs w:val="32"/>
        </w:rPr>
        <w:t>7</w:t>
      </w:r>
      <w:r>
        <w:rPr>
          <w:rFonts w:hint="eastAsia" w:ascii="仿宋_GB2312" w:hAnsi="宋体" w:eastAsia="仿宋_GB2312" w:cs="Times New Roman"/>
          <w:kern w:val="0"/>
          <w:sz w:val="32"/>
          <w:szCs w:val="32"/>
        </w:rPr>
        <w:t>：技术评审表</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ascii="仿宋_GB2312" w:hAnsi="宋体" w:eastAsia="仿宋_GB2312" w:cs="Times New Roman"/>
          <w:kern w:val="0"/>
          <w:sz w:val="32"/>
          <w:szCs w:val="32"/>
        </w:rPr>
        <w:t>8</w:t>
      </w:r>
      <w:r>
        <w:rPr>
          <w:rFonts w:hint="eastAsia" w:ascii="仿宋_GB2312" w:hAnsi="宋体" w:eastAsia="仿宋_GB2312" w:cs="Times New Roman"/>
          <w:kern w:val="0"/>
          <w:sz w:val="32"/>
          <w:szCs w:val="32"/>
        </w:rPr>
        <w:t>：商务评审表</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w:t>
      </w:r>
      <w:r>
        <w:rPr>
          <w:rFonts w:ascii="仿宋_GB2312" w:hAnsi="宋体" w:eastAsia="仿宋_GB2312" w:cs="Times New Roman"/>
          <w:kern w:val="0"/>
          <w:sz w:val="32"/>
          <w:szCs w:val="32"/>
        </w:rPr>
        <w:t>19</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 xml:space="preserve"> </w:t>
      </w:r>
      <w:r>
        <w:rPr>
          <w:rFonts w:hint="eastAsia" w:ascii="仿宋_GB2312" w:hAnsi="宋体" w:eastAsia="仿宋_GB2312" w:cs="Times New Roman"/>
          <w:kern w:val="0"/>
          <w:sz w:val="32"/>
          <w:szCs w:val="32"/>
        </w:rPr>
        <w:t>其他资</w:t>
      </w:r>
      <w:r>
        <w:rPr>
          <w:rFonts w:ascii="仿宋_GB2312" w:hAnsi="宋体" w:eastAsia="仿宋_GB2312" w:cs="Times New Roman"/>
          <w:kern w:val="0"/>
          <w:sz w:val="32"/>
          <w:szCs w:val="32"/>
        </w:rPr>
        <w:t>料</w:t>
      </w:r>
    </w:p>
    <w:p>
      <w:pPr>
        <w:ind w:firstLine="560" w:firstLineChars="200"/>
        <w:rPr>
          <w:rFonts w:ascii="宋体" w:hAnsi="宋体" w:eastAsia="宋体" w:cs="Times New Roman"/>
          <w:color w:val="0000FF"/>
          <w:kern w:val="0"/>
          <w:sz w:val="28"/>
          <w:szCs w:val="28"/>
        </w:rPr>
      </w:pPr>
    </w:p>
    <w:p>
      <w:pPr>
        <w:ind w:firstLine="560" w:firstLineChars="200"/>
        <w:rPr>
          <w:rFonts w:ascii="宋体" w:hAnsi="宋体" w:eastAsia="宋体" w:cs="Times New Roman"/>
          <w:color w:val="0000FF"/>
          <w:kern w:val="0"/>
          <w:sz w:val="28"/>
          <w:szCs w:val="28"/>
        </w:rPr>
        <w:sectPr>
          <w:pgSz w:w="11906" w:h="16838"/>
          <w:pgMar w:top="1440" w:right="1440" w:bottom="1440" w:left="1440" w:header="851" w:footer="851" w:gutter="0"/>
          <w:cols w:space="720" w:num="1"/>
          <w:docGrid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开标一览表</w:t>
      </w:r>
    </w:p>
    <w:p>
      <w:pPr>
        <w:rPr>
          <w:rFonts w:ascii="Times New Roman" w:hAnsi="Times New Roman" w:eastAsia="宋体" w:cs="Times New Roman"/>
          <w:kern w:val="0"/>
          <w:sz w:val="28"/>
          <w:szCs w:val="28"/>
        </w:rPr>
      </w:pPr>
    </w:p>
    <w:p>
      <w:pPr>
        <w:rPr>
          <w:rFonts w:ascii="宋体" w:hAnsi="宋体" w:eastAsia="宋体" w:cs="Times New Roman"/>
          <w:kern w:val="0"/>
          <w:sz w:val="24"/>
          <w:szCs w:val="24"/>
        </w:rPr>
      </w:pPr>
      <w:r>
        <w:rPr>
          <w:rFonts w:hint="eastAsia" w:ascii="宋体" w:hAnsi="宋体" w:eastAsia="宋体" w:cs="Times New Roman"/>
          <w:kern w:val="0"/>
          <w:sz w:val="24"/>
          <w:szCs w:val="24"/>
        </w:rPr>
        <w:t>项目名称：项目编号：                             金额单位：元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7"/>
        <w:gridCol w:w="1240"/>
        <w:gridCol w:w="882"/>
        <w:gridCol w:w="1302"/>
        <w:gridCol w:w="758"/>
        <w:gridCol w:w="740"/>
        <w:gridCol w:w="739"/>
        <w:gridCol w:w="762"/>
        <w:gridCol w:w="1008"/>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品牌</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（含税）</w:t>
            </w: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金额</w:t>
            </w:r>
          </w:p>
          <w:p>
            <w:pPr>
              <w:spacing w:line="300" w:lineRule="exact"/>
              <w:jc w:val="center"/>
              <w:rPr>
                <w:rFonts w:ascii="宋体" w:hAnsi="宋体" w:eastAsia="宋体" w:cs="Times New Roman"/>
                <w:bCs/>
                <w:spacing w:val="-4"/>
                <w:kern w:val="0"/>
                <w:sz w:val="24"/>
                <w:szCs w:val="24"/>
              </w:rPr>
            </w:pPr>
            <w:r>
              <w:rPr>
                <w:rFonts w:hint="eastAsia" w:ascii="宋体" w:hAnsi="宋体" w:eastAsia="宋体" w:cs="Times New Roman"/>
                <w:kern w:val="0"/>
                <w:sz w:val="24"/>
                <w:szCs w:val="24"/>
              </w:rPr>
              <w:t>（含税）</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交货时间</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
                <w:kern w:val="0"/>
                <w:sz w:val="24"/>
                <w:szCs w:val="24"/>
              </w:rPr>
            </w:pPr>
            <w:r>
              <w:rPr>
                <w:rFonts w:hint="eastAsia" w:ascii="宋体" w:hAnsi="宋体" w:eastAsia="宋体" w:cs="Times New Roman"/>
                <w:kern w:val="0"/>
                <w:sz w:val="24"/>
                <w:szCs w:val="24"/>
              </w:rPr>
              <w:t>合计</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Cs/>
                <w:spacing w:val="-4"/>
                <w:kern w:val="0"/>
                <w:sz w:val="24"/>
                <w:szCs w:val="24"/>
              </w:rPr>
            </w:pPr>
          </w:p>
        </w:tc>
        <w:tc>
          <w:tcPr>
            <w:tcW w:w="2076" w:type="dxa"/>
            <w:gridSpan w:val="2"/>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Cs/>
                <w:spacing w:val="-4"/>
                <w:kern w:val="0"/>
                <w:sz w:val="24"/>
                <w:szCs w:val="24"/>
              </w:rPr>
            </w:pPr>
          </w:p>
        </w:tc>
        <w:tc>
          <w:tcPr>
            <w:tcW w:w="11889"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r>
              <w:rPr>
                <w:rFonts w:hint="eastAsia" w:ascii="宋体" w:hAnsi="宋体" w:eastAsia="宋体" w:cs="Times New Roman"/>
                <w:bCs/>
                <w:spacing w:val="-4"/>
                <w:kern w:val="0"/>
                <w:sz w:val="24"/>
                <w:szCs w:val="24"/>
              </w:rPr>
              <w:t>投标总价（人民币大写）：（小写）</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说明：金额</w:t>
      </w:r>
      <w:r>
        <w:rPr>
          <w:rFonts w:ascii="宋体" w:hAnsi="宋体" w:eastAsia="宋体" w:cs="Times New Roman"/>
          <w:kern w:val="0"/>
          <w:sz w:val="24"/>
          <w:szCs w:val="24"/>
        </w:rPr>
        <w:t>=</w:t>
      </w:r>
      <w:r>
        <w:rPr>
          <w:rFonts w:hint="eastAsia" w:ascii="宋体" w:hAnsi="宋体" w:eastAsia="宋体" w:cs="Times New Roman"/>
          <w:kern w:val="0"/>
          <w:sz w:val="24"/>
          <w:szCs w:val="24"/>
        </w:rPr>
        <w:t>单价</w:t>
      </w:r>
      <w:r>
        <w:rPr>
          <w:rFonts w:ascii="宋体" w:hAnsi="宋体" w:eastAsia="宋体" w:cs="Times New Roman"/>
          <w:kern w:val="0"/>
          <w:sz w:val="24"/>
          <w:szCs w:val="24"/>
        </w:rPr>
        <w:t>×</w:t>
      </w:r>
      <w:r>
        <w:rPr>
          <w:rFonts w:hint="eastAsia" w:ascii="宋体" w:hAnsi="宋体" w:eastAsia="宋体" w:cs="Times New Roman"/>
          <w:kern w:val="0"/>
          <w:sz w:val="24"/>
          <w:szCs w:val="24"/>
        </w:rPr>
        <w:t>数量，投标总价</w:t>
      </w:r>
      <w:r>
        <w:rPr>
          <w:rFonts w:ascii="宋体" w:hAnsi="宋体" w:eastAsia="宋体" w:cs="Times New Roman"/>
          <w:kern w:val="0"/>
          <w:sz w:val="24"/>
          <w:szCs w:val="24"/>
        </w:rPr>
        <w:t>=</w:t>
      </w:r>
      <w:r>
        <w:rPr>
          <w:rFonts w:hint="eastAsia" w:ascii="宋体" w:hAnsi="宋体" w:eastAsia="宋体" w:cs="Times New Roman"/>
          <w:kern w:val="0"/>
          <w:sz w:val="24"/>
          <w:szCs w:val="24"/>
        </w:rPr>
        <w:t>金额之和。</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供应商全称：（盖章）法定代表人（或授权代表）：（签字）</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年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   日</w:t>
      </w:r>
    </w:p>
    <w:p>
      <w:pPr>
        <w:rPr>
          <w:rFonts w:ascii="宋体" w:hAnsi="宋体" w:eastAsia="宋体" w:cs="Times New Roman"/>
          <w:color w:val="0000FF"/>
          <w:kern w:val="0"/>
          <w:sz w:val="24"/>
          <w:szCs w:val="24"/>
        </w:rPr>
      </w:pPr>
    </w:p>
    <w:p>
      <w:pPr>
        <w:rPr>
          <w:rFonts w:ascii="黑体" w:hAnsi="黑体" w:eastAsia="黑体" w:cs="Times New Roman"/>
          <w:color w:val="0000FF"/>
          <w:kern w:val="0"/>
          <w:sz w:val="28"/>
          <w:szCs w:val="28"/>
        </w:rPr>
        <w:sectPr>
          <w:headerReference r:id="rId8" w:type="default"/>
          <w:pgSz w:w="11906" w:h="16838"/>
          <w:pgMar w:top="1440" w:right="1440" w:bottom="1440" w:left="1440" w:header="851" w:footer="964" w:gutter="0"/>
          <w:cols w:space="720" w:num="1"/>
          <w:docGrid w:linePitch="510" w:charSpace="-1844"/>
        </w:sectPr>
      </w:pPr>
    </w:p>
    <w:p>
      <w:pPr>
        <w:rPr>
          <w:rFonts w:ascii="黑体" w:hAnsi="黑体" w:eastAsia="黑体" w:cs="Times New Roman"/>
          <w:color w:val="0000FF"/>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价格构成表（无须提供）</w:t>
      </w:r>
    </w:p>
    <w:p>
      <w:pPr>
        <w:tabs>
          <w:tab w:val="left" w:pos="1215"/>
        </w:tabs>
        <w:jc w:val="left"/>
        <w:rPr>
          <w:rFonts w:ascii="宋体" w:hAnsi="宋体" w:eastAsia="宋体" w:cs="Times New Roman"/>
          <w:kern w:val="0"/>
          <w:sz w:val="24"/>
          <w:szCs w:val="24"/>
        </w:rPr>
      </w:pPr>
      <w:r>
        <w:rPr>
          <w:rFonts w:ascii="宋体" w:hAnsi="宋体" w:eastAsia="宋体" w:cs="Times New Roman"/>
          <w:kern w:val="0"/>
          <w:sz w:val="24"/>
          <w:szCs w:val="24"/>
        </w:rPr>
        <w:tab/>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w:t>
      </w:r>
      <w:r>
        <w:rPr>
          <w:rFonts w:hint="eastAsia" w:ascii="宋体" w:hAnsi="宋体" w:eastAsia="宋体" w:cs="Times New Roman"/>
          <w:spacing w:val="8"/>
          <w:kern w:val="0"/>
          <w:sz w:val="24"/>
          <w:szCs w:val="24"/>
        </w:rPr>
        <w:t>项目编</w:t>
      </w:r>
      <w:r>
        <w:rPr>
          <w:rFonts w:hint="eastAsia" w:ascii="宋体" w:hAnsi="宋体" w:eastAsia="宋体" w:cs="Times New Roman"/>
          <w:kern w:val="0"/>
          <w:sz w:val="24"/>
          <w:szCs w:val="24"/>
        </w:rPr>
        <w:t>号：                     金额单位：元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617"/>
        <w:gridCol w:w="520"/>
        <w:gridCol w:w="521"/>
        <w:gridCol w:w="470"/>
        <w:gridCol w:w="474"/>
        <w:gridCol w:w="534"/>
        <w:gridCol w:w="474"/>
        <w:gridCol w:w="474"/>
        <w:gridCol w:w="474"/>
        <w:gridCol w:w="534"/>
        <w:gridCol w:w="474"/>
        <w:gridCol w:w="474"/>
        <w:gridCol w:w="474"/>
        <w:gridCol w:w="534"/>
        <w:gridCol w:w="534"/>
        <w:gridCol w:w="474"/>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9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规格</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型号</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数</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量</w:t>
            </w: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tc>
        <w:tc>
          <w:tcPr>
            <w:tcW w:w="9477"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直接材料费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外购成件费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燃料及动力费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直接人工费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废品损失费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管理费用</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利润</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税金</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备件工具费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安装调试费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技术服务费</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w:t>
            </w: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3</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4</w:t>
            </w: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5</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6</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7</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8</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9</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10</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11</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12</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13</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14</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15</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16</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17</w:t>
            </w: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031"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4"/>
              </w:rPr>
            </w:pPr>
            <w:r>
              <w:rPr>
                <w:rFonts w:hint="eastAsia" w:ascii="宋体" w:hAnsi="宋体" w:eastAsia="宋体" w:cs="Times New Roman"/>
                <w:kern w:val="0"/>
                <w:sz w:val="24"/>
                <w:szCs w:val="24"/>
              </w:rPr>
              <w:t>货物总金额（大写人民币）：（</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r>
              <w:rPr>
                <w:rFonts w:hint="eastAsia" w:ascii="宋体" w:hAnsi="宋体" w:eastAsia="宋体" w:cs="Times New Roman"/>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ascii="宋体" w:hAnsi="宋体" w:eastAsia="宋体" w:cs="Times New Roman"/>
          <w:kern w:val="0"/>
          <w:sz w:val="24"/>
          <w:szCs w:val="24"/>
        </w:rPr>
        <w:t>1.</w:t>
      </w:r>
      <w:r>
        <w:rPr>
          <w:rFonts w:hint="eastAsia" w:ascii="宋体" w:hAnsi="宋体" w:eastAsia="宋体" w:cs="Times New Roman"/>
          <w:kern w:val="0"/>
          <w:sz w:val="24"/>
          <w:szCs w:val="24"/>
        </w:rPr>
        <w:t>项</w:t>
      </w:r>
      <w:r>
        <w:rPr>
          <w:rFonts w:ascii="宋体" w:hAnsi="宋体" w:eastAsia="宋体" w:cs="Times New Roman"/>
          <w:kern w:val="0"/>
          <w:sz w:val="24"/>
          <w:szCs w:val="24"/>
        </w:rPr>
        <w:t>5=</w:t>
      </w:r>
      <w:r>
        <w:rPr>
          <w:rFonts w:hint="eastAsia" w:ascii="宋体" w:hAnsi="宋体" w:eastAsia="宋体" w:cs="Times New Roman"/>
          <w:kern w:val="0"/>
          <w:sz w:val="24"/>
          <w:szCs w:val="24"/>
        </w:rPr>
        <w:t>项</w:t>
      </w:r>
      <w:r>
        <w:rPr>
          <w:rFonts w:ascii="宋体" w:hAnsi="宋体" w:eastAsia="宋体" w:cs="Times New Roman"/>
          <w:kern w:val="0"/>
          <w:sz w:val="24"/>
          <w:szCs w:val="24"/>
        </w:rPr>
        <w:t>6×</w:t>
      </w:r>
      <w:r>
        <w:rPr>
          <w:rFonts w:hint="eastAsia" w:ascii="宋体" w:hAnsi="宋体" w:eastAsia="宋体" w:cs="Times New Roman"/>
          <w:kern w:val="0"/>
          <w:sz w:val="24"/>
          <w:szCs w:val="24"/>
        </w:rPr>
        <w:t>项</w:t>
      </w:r>
      <w:r>
        <w:rPr>
          <w:rFonts w:ascii="宋体" w:hAnsi="宋体" w:eastAsia="宋体" w:cs="Times New Roman"/>
          <w:kern w:val="0"/>
          <w:sz w:val="24"/>
          <w:szCs w:val="24"/>
        </w:rPr>
        <w:t>4</w:t>
      </w:r>
    </w:p>
    <w:p>
      <w:pP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项</w:t>
      </w:r>
      <w:r>
        <w:rPr>
          <w:rFonts w:ascii="宋体" w:hAnsi="宋体" w:eastAsia="宋体" w:cs="Times New Roman"/>
          <w:kern w:val="0"/>
          <w:sz w:val="24"/>
          <w:szCs w:val="24"/>
        </w:rPr>
        <w:t>6=</w:t>
      </w:r>
      <w:r>
        <w:rPr>
          <w:rFonts w:hint="eastAsia" w:ascii="宋体" w:hAnsi="宋体" w:eastAsia="宋体" w:cs="Times New Roman"/>
          <w:kern w:val="0"/>
          <w:sz w:val="24"/>
          <w:szCs w:val="24"/>
        </w:rPr>
        <w:t>项</w:t>
      </w:r>
      <w:r>
        <w:rPr>
          <w:rFonts w:ascii="宋体" w:hAnsi="宋体" w:eastAsia="宋体" w:cs="Times New Roman"/>
          <w:kern w:val="0"/>
          <w:sz w:val="24"/>
          <w:szCs w:val="24"/>
        </w:rPr>
        <w:t>7+</w:t>
      </w:r>
      <w:r>
        <w:rPr>
          <w:rFonts w:hint="eastAsia" w:ascii="宋体" w:hAnsi="宋体" w:eastAsia="宋体" w:cs="Times New Roman"/>
          <w:kern w:val="0"/>
          <w:sz w:val="24"/>
          <w:szCs w:val="24"/>
        </w:rPr>
        <w:t>项</w:t>
      </w:r>
      <w:r>
        <w:rPr>
          <w:rFonts w:ascii="宋体" w:hAnsi="宋体" w:eastAsia="宋体" w:cs="Times New Roman"/>
          <w:kern w:val="0"/>
          <w:sz w:val="24"/>
          <w:szCs w:val="24"/>
        </w:rPr>
        <w:t>8+</w:t>
      </w:r>
      <w:r>
        <w:rPr>
          <w:rFonts w:hint="eastAsia" w:ascii="宋体" w:hAnsi="宋体" w:eastAsia="宋体" w:cs="Times New Roman"/>
          <w:kern w:val="0"/>
          <w:sz w:val="24"/>
          <w:szCs w:val="24"/>
        </w:rPr>
        <w:t>项</w:t>
      </w:r>
      <w:r>
        <w:rPr>
          <w:rFonts w:ascii="宋体" w:hAnsi="宋体" w:eastAsia="宋体" w:cs="Times New Roman"/>
          <w:kern w:val="0"/>
          <w:sz w:val="24"/>
          <w:szCs w:val="24"/>
        </w:rPr>
        <w:t>9+</w:t>
      </w:r>
      <w:r>
        <w:rPr>
          <w:rFonts w:hint="eastAsia" w:ascii="宋体" w:hAnsi="宋体" w:eastAsia="宋体" w:cs="Times New Roman"/>
          <w:kern w:val="0"/>
          <w:sz w:val="24"/>
          <w:szCs w:val="24"/>
        </w:rPr>
        <w:t>项</w:t>
      </w:r>
      <w:r>
        <w:rPr>
          <w:rFonts w:ascii="宋体" w:hAnsi="宋体" w:eastAsia="宋体" w:cs="Times New Roman"/>
          <w:kern w:val="0"/>
          <w:sz w:val="24"/>
          <w:szCs w:val="24"/>
        </w:rPr>
        <w:t>10+</w:t>
      </w:r>
      <w:r>
        <w:rPr>
          <w:rFonts w:hint="eastAsia" w:ascii="宋体" w:hAnsi="宋体" w:eastAsia="宋体" w:cs="Times New Roman"/>
          <w:kern w:val="0"/>
          <w:sz w:val="24"/>
          <w:szCs w:val="24"/>
        </w:rPr>
        <w:t>项</w:t>
      </w:r>
      <w:r>
        <w:rPr>
          <w:rFonts w:ascii="宋体" w:hAnsi="宋体" w:eastAsia="宋体" w:cs="Times New Roman"/>
          <w:kern w:val="0"/>
          <w:sz w:val="24"/>
          <w:szCs w:val="24"/>
        </w:rPr>
        <w:t>11+</w:t>
      </w:r>
      <w:r>
        <w:rPr>
          <w:rFonts w:hint="eastAsia" w:ascii="宋体" w:hAnsi="宋体" w:eastAsia="宋体" w:cs="Times New Roman"/>
          <w:kern w:val="0"/>
          <w:sz w:val="24"/>
          <w:szCs w:val="24"/>
        </w:rPr>
        <w:t>项</w:t>
      </w:r>
      <w:r>
        <w:rPr>
          <w:rFonts w:ascii="宋体" w:hAnsi="宋体" w:eastAsia="宋体" w:cs="Times New Roman"/>
          <w:kern w:val="0"/>
          <w:sz w:val="24"/>
          <w:szCs w:val="24"/>
        </w:rPr>
        <w:t>12+</w:t>
      </w:r>
      <w:r>
        <w:rPr>
          <w:rFonts w:hint="eastAsia" w:ascii="宋体" w:hAnsi="宋体" w:eastAsia="宋体" w:cs="Times New Roman"/>
          <w:kern w:val="0"/>
          <w:sz w:val="24"/>
          <w:szCs w:val="24"/>
        </w:rPr>
        <w:t>项</w:t>
      </w:r>
      <w:r>
        <w:rPr>
          <w:rFonts w:ascii="宋体" w:hAnsi="宋体" w:eastAsia="宋体" w:cs="Times New Roman"/>
          <w:kern w:val="0"/>
          <w:sz w:val="24"/>
          <w:szCs w:val="24"/>
        </w:rPr>
        <w:t>13+</w:t>
      </w:r>
      <w:r>
        <w:rPr>
          <w:rFonts w:hint="eastAsia" w:ascii="宋体" w:hAnsi="宋体" w:eastAsia="宋体" w:cs="Times New Roman"/>
          <w:kern w:val="0"/>
          <w:sz w:val="24"/>
          <w:szCs w:val="24"/>
        </w:rPr>
        <w:t>项</w:t>
      </w:r>
      <w:r>
        <w:rPr>
          <w:rFonts w:ascii="宋体" w:hAnsi="宋体" w:eastAsia="宋体" w:cs="Times New Roman"/>
          <w:kern w:val="0"/>
          <w:sz w:val="24"/>
          <w:szCs w:val="24"/>
        </w:rPr>
        <w:t>14+</w:t>
      </w:r>
      <w:r>
        <w:rPr>
          <w:rFonts w:hint="eastAsia" w:ascii="宋体" w:hAnsi="宋体" w:eastAsia="宋体" w:cs="Times New Roman"/>
          <w:kern w:val="0"/>
          <w:sz w:val="24"/>
          <w:szCs w:val="24"/>
        </w:rPr>
        <w:t>项</w:t>
      </w:r>
      <w:r>
        <w:rPr>
          <w:rFonts w:ascii="宋体" w:hAnsi="宋体" w:eastAsia="宋体" w:cs="Times New Roman"/>
          <w:kern w:val="0"/>
          <w:sz w:val="24"/>
          <w:szCs w:val="24"/>
        </w:rPr>
        <w:t>15+</w:t>
      </w:r>
      <w:r>
        <w:rPr>
          <w:rFonts w:hint="eastAsia" w:ascii="宋体" w:hAnsi="宋体" w:eastAsia="宋体" w:cs="Times New Roman"/>
          <w:kern w:val="0"/>
          <w:sz w:val="24"/>
          <w:szCs w:val="24"/>
        </w:rPr>
        <w:t>项</w:t>
      </w:r>
      <w:r>
        <w:rPr>
          <w:rFonts w:ascii="宋体" w:hAnsi="宋体" w:eastAsia="宋体" w:cs="Times New Roman"/>
          <w:kern w:val="0"/>
          <w:sz w:val="24"/>
          <w:szCs w:val="24"/>
        </w:rPr>
        <w:t>16+</w:t>
      </w:r>
      <w:r>
        <w:rPr>
          <w:rFonts w:hint="eastAsia" w:ascii="宋体" w:hAnsi="宋体" w:eastAsia="宋体" w:cs="Times New Roman"/>
          <w:kern w:val="0"/>
          <w:sz w:val="24"/>
          <w:szCs w:val="24"/>
        </w:rPr>
        <w:t>项</w:t>
      </w:r>
      <w:r>
        <w:rPr>
          <w:rFonts w:ascii="宋体" w:hAnsi="宋体" w:eastAsia="宋体" w:cs="Times New Roman"/>
          <w:kern w:val="0"/>
          <w:sz w:val="24"/>
          <w:szCs w:val="24"/>
        </w:rPr>
        <w:t>17+</w:t>
      </w:r>
      <w:r>
        <w:rPr>
          <w:rFonts w:hint="eastAsia" w:ascii="宋体" w:hAnsi="宋体" w:eastAsia="宋体" w:cs="Times New Roman"/>
          <w:kern w:val="0"/>
          <w:sz w:val="24"/>
          <w:szCs w:val="24"/>
        </w:rPr>
        <w:t>项</w:t>
      </w:r>
      <w:r>
        <w:rPr>
          <w:rFonts w:ascii="宋体" w:hAnsi="宋体" w:eastAsia="宋体" w:cs="Times New Roman"/>
          <w:kern w:val="0"/>
          <w:sz w:val="24"/>
          <w:szCs w:val="24"/>
        </w:rPr>
        <w:t xml:space="preserve">18 </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供应商全称：（盖章）法定代表人（或授权代表）：（签字）</w:t>
      </w:r>
    </w:p>
    <w:p>
      <w:pPr>
        <w:rPr>
          <w:rFonts w:ascii="宋体" w:hAnsi="宋体" w:eastAsia="宋体" w:cs="Times New Roman"/>
          <w:kern w:val="0"/>
          <w:sz w:val="24"/>
          <w:szCs w:val="24"/>
        </w:rPr>
      </w:pPr>
    </w:p>
    <w:p>
      <w:pPr>
        <w:ind w:firstLine="480" w:firstLineChars="200"/>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年 月  日</w:t>
      </w:r>
    </w:p>
    <w:p>
      <w:pPr>
        <w:jc w:val="center"/>
        <w:rPr>
          <w:rFonts w:ascii="宋体" w:hAnsi="宋体" w:eastAsia="宋体" w:cs="Times New Roman"/>
          <w:color w:val="0000FF"/>
          <w:kern w:val="0"/>
          <w:sz w:val="24"/>
          <w:szCs w:val="24"/>
        </w:rPr>
        <w:sectPr>
          <w:pgSz w:w="11906" w:h="16838"/>
          <w:pgMar w:top="1440" w:right="1440" w:bottom="1440" w:left="1440" w:header="851" w:footer="964" w:gutter="0"/>
          <w:cols w:space="720" w:num="1"/>
          <w:docGrid w:linePitch="510" w:charSpace="-1844"/>
        </w:sectPr>
      </w:pPr>
    </w:p>
    <w:p>
      <w:pPr>
        <w:rPr>
          <w:rFonts w:ascii="黑体" w:hAnsi="黑体" w:eastAsia="黑体" w:cs="Times New Roman"/>
          <w:kern w:val="0"/>
          <w:sz w:val="32"/>
          <w:szCs w:val="32"/>
        </w:rPr>
      </w:pPr>
      <w:bookmarkStart w:id="29" w:name="_Toc285612606"/>
      <w:r>
        <w:rPr>
          <w:rFonts w:hint="eastAsia" w:ascii="黑体" w:hAnsi="黑体" w:eastAsia="黑体" w:cs="Times New Roman"/>
          <w:kern w:val="0"/>
          <w:sz w:val="32"/>
          <w:szCs w:val="32"/>
        </w:rPr>
        <w:t>附件3</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货物材料、部件、工具价格明细表</w:t>
      </w:r>
      <w:bookmarkEnd w:id="29"/>
      <w:r>
        <w:rPr>
          <w:rFonts w:hint="eastAsia" w:ascii="方正小标宋简体" w:hAnsi="Times New Roman" w:eastAsia="方正小标宋简体" w:cs="Times New Roman"/>
          <w:kern w:val="0"/>
          <w:sz w:val="44"/>
          <w:szCs w:val="44"/>
        </w:rPr>
        <w:t>（无须提供）</w:t>
      </w:r>
    </w:p>
    <w:p>
      <w:pPr>
        <w:tabs>
          <w:tab w:val="left" w:pos="0"/>
        </w:tabs>
        <w:spacing w:line="560" w:lineRule="exact"/>
        <w:jc w:val="center"/>
        <w:rPr>
          <w:rFonts w:ascii="方正小标宋简体" w:hAnsi="Times New Roman" w:eastAsia="方正小标宋简体" w:cs="Times New Roman"/>
          <w:kern w:val="0"/>
          <w:sz w:val="44"/>
          <w:szCs w:val="44"/>
        </w:rPr>
      </w:pPr>
    </w:p>
    <w:p>
      <w:pPr>
        <w:autoSpaceDE w:val="0"/>
        <w:autoSpaceDN w:val="0"/>
        <w:adjustRightInd w:val="0"/>
        <w:rPr>
          <w:rFonts w:ascii="华文中宋" w:hAnsi="华文中宋" w:eastAsia="华文中宋" w:cs="宋体"/>
          <w:kern w:val="0"/>
          <w:sz w:val="24"/>
          <w:szCs w:val="24"/>
          <w:lang w:val="zh-CN"/>
        </w:rPr>
      </w:pPr>
      <w:r>
        <w:rPr>
          <w:rFonts w:hint="eastAsia" w:ascii="宋体" w:hAnsi="宋体" w:eastAsia="宋体" w:cs="宋体"/>
          <w:kern w:val="0"/>
          <w:sz w:val="24"/>
          <w:szCs w:val="24"/>
        </w:rPr>
        <w:t xml:space="preserve">项目名称：                       项目编号：                     包号：   </w:t>
      </w:r>
    </w:p>
    <w:tbl>
      <w:tblPr>
        <w:tblStyle w:val="19"/>
        <w:tblW w:w="5000" w:type="pct"/>
        <w:jc w:val="center"/>
        <w:tblLayout w:type="fixed"/>
        <w:tblCellMar>
          <w:top w:w="0" w:type="dxa"/>
          <w:left w:w="108" w:type="dxa"/>
          <w:bottom w:w="0" w:type="dxa"/>
          <w:right w:w="108" w:type="dxa"/>
        </w:tblCellMar>
      </w:tblPr>
      <w:tblGrid>
        <w:gridCol w:w="583"/>
        <w:gridCol w:w="1535"/>
        <w:gridCol w:w="974"/>
        <w:gridCol w:w="1002"/>
        <w:gridCol w:w="788"/>
        <w:gridCol w:w="1181"/>
        <w:gridCol w:w="741"/>
        <w:gridCol w:w="1105"/>
        <w:gridCol w:w="1333"/>
      </w:tblGrid>
      <w:tr>
        <w:tblPrEx>
          <w:tblCellMar>
            <w:top w:w="0" w:type="dxa"/>
            <w:left w:w="108" w:type="dxa"/>
            <w:bottom w:w="0" w:type="dxa"/>
            <w:right w:w="108" w:type="dxa"/>
          </w:tblCellMar>
        </w:tblPrEx>
        <w:trPr>
          <w:trHeight w:val="567" w:hRule="exact"/>
          <w:jc w:val="center"/>
        </w:trPr>
        <w:tc>
          <w:tcPr>
            <w:tcW w:w="572" w:type="dxa"/>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序号</w:t>
            </w:r>
          </w:p>
        </w:tc>
        <w:tc>
          <w:tcPr>
            <w:tcW w:w="150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项目</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规格</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型号</w:t>
            </w:r>
          </w:p>
        </w:tc>
        <w:tc>
          <w:tcPr>
            <w:tcW w:w="98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执行</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标准</w:t>
            </w:r>
          </w:p>
        </w:tc>
        <w:tc>
          <w:tcPr>
            <w:tcW w:w="77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计量</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单位</w:t>
            </w:r>
          </w:p>
        </w:tc>
        <w:tc>
          <w:tcPr>
            <w:tcW w:w="1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定额/</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消耗数量</w:t>
            </w:r>
          </w:p>
        </w:tc>
        <w:tc>
          <w:tcPr>
            <w:tcW w:w="72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单价</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(元)</w:t>
            </w:r>
          </w:p>
        </w:tc>
        <w:tc>
          <w:tcPr>
            <w:tcW w:w="108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金额</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(元)</w:t>
            </w:r>
          </w:p>
        </w:tc>
        <w:tc>
          <w:tcPr>
            <w:tcW w:w="1307" w:type="dxa"/>
            <w:vMerge w:val="restart"/>
            <w:tcBorders>
              <w:top w:val="single" w:color="auto" w:sz="4" w:space="0"/>
              <w:left w:val="single" w:color="auto" w:sz="4" w:space="0"/>
              <w:bottom w:val="single" w:color="000000" w:sz="4" w:space="0"/>
              <w:right w:val="single" w:color="auto" w:sz="8"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产地或</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生产企业</w:t>
            </w:r>
          </w:p>
        </w:tc>
      </w:tr>
      <w:tr>
        <w:tblPrEx>
          <w:tblCellMar>
            <w:top w:w="0" w:type="dxa"/>
            <w:left w:w="108" w:type="dxa"/>
            <w:bottom w:w="0" w:type="dxa"/>
            <w:right w:w="108" w:type="dxa"/>
          </w:tblCellMar>
        </w:tblPrEx>
        <w:trPr>
          <w:trHeight w:val="311"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9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307" w:type="dxa"/>
            <w:vMerge w:val="continue"/>
            <w:tcBorders>
              <w:top w:val="single" w:color="auto" w:sz="4" w:space="0"/>
              <w:left w:val="single" w:color="auto" w:sz="4" w:space="0"/>
              <w:bottom w:val="single" w:color="000000" w:sz="4" w:space="0"/>
              <w:right w:val="single" w:color="auto" w:sz="8" w:space="0"/>
            </w:tcBorders>
            <w:vAlign w:val="center"/>
          </w:tcPr>
          <w:p>
            <w:pPr>
              <w:widowControl/>
              <w:spacing w:line="300" w:lineRule="exact"/>
              <w:jc w:val="left"/>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一</w:t>
            </w:r>
          </w:p>
        </w:tc>
        <w:tc>
          <w:tcPr>
            <w:tcW w:w="1505"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直接材料费</w:t>
            </w:r>
          </w:p>
        </w:tc>
        <w:tc>
          <w:tcPr>
            <w:tcW w:w="955"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2"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single" w:color="auto" w:sz="2" w:space="0"/>
              <w:left w:val="single" w:color="auto" w:sz="8" w:space="0"/>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505"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955"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982"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772"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158"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726"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083"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307" w:type="dxa"/>
            <w:tcBorders>
              <w:top w:val="single" w:color="auto" w:sz="2" w:space="0"/>
              <w:left w:val="nil"/>
              <w:bottom w:val="single" w:color="auto" w:sz="4" w:space="0"/>
              <w:right w:val="single" w:color="auto" w:sz="8" w:space="0"/>
            </w:tcBorders>
            <w:noWrap/>
            <w:vAlign w:val="center"/>
          </w:tcPr>
          <w:p>
            <w:pPr>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二</w:t>
            </w: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外购成件费</w:t>
            </w: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三</w:t>
            </w: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备件工具费</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合计</w:t>
            </w:r>
          </w:p>
        </w:tc>
        <w:tc>
          <w:tcPr>
            <w:tcW w:w="955"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8" w:space="0"/>
              <w:right w:val="single" w:color="auto" w:sz="8" w:space="0"/>
            </w:tcBorders>
            <w:noWrap/>
            <w:vAlign w:val="center"/>
          </w:tcPr>
          <w:p>
            <w:pPr>
              <w:widowControl/>
              <w:spacing w:line="300" w:lineRule="exact"/>
              <w:jc w:val="center"/>
              <w:rPr>
                <w:rFonts w:ascii="宋体" w:hAnsi="宋体" w:eastAsia="宋体" w:cs="宋体"/>
                <w:sz w:val="24"/>
                <w:szCs w:val="24"/>
              </w:rPr>
            </w:pPr>
          </w:p>
        </w:tc>
      </w:tr>
    </w:tbl>
    <w:p>
      <w:pPr>
        <w:widowControl/>
        <w:jc w:val="left"/>
        <w:rPr>
          <w:rFonts w:ascii="宋体" w:hAnsi="宋体" w:eastAsia="宋体" w:cs="宋体"/>
          <w:sz w:val="24"/>
          <w:szCs w:val="24"/>
        </w:rPr>
      </w:pPr>
      <w:r>
        <w:rPr>
          <w:rFonts w:hint="eastAsia" w:ascii="宋体" w:hAnsi="宋体" w:eastAsia="宋体" w:cs="宋体"/>
          <w:kern w:val="0"/>
          <w:sz w:val="24"/>
          <w:szCs w:val="24"/>
        </w:rPr>
        <w:t>说明：以一套货物的所用材料为基本单位，项目填列直接材料明细。</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供应商全称：（盖章）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p>
    <w:p>
      <w:pPr>
        <w:rPr>
          <w:rFonts w:ascii="黑体" w:hAnsi="黑体" w:eastAsia="黑体" w:cs="Times New Roman"/>
          <w:kern w:val="0"/>
          <w:sz w:val="32"/>
          <w:szCs w:val="32"/>
        </w:rPr>
        <w:sectPr>
          <w:headerReference r:id="rId9" w:type="default"/>
          <w:pgSz w:w="11906" w:h="16838"/>
          <w:pgMar w:top="1440" w:right="1440" w:bottom="1440" w:left="1440" w:header="851" w:footer="992" w:gutter="0"/>
          <w:cols w:space="720" w:num="1"/>
          <w:docGrid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附件4</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投标函</w:t>
      </w:r>
    </w:p>
    <w:p>
      <w:pPr>
        <w:spacing w:line="420" w:lineRule="exact"/>
        <w:rPr>
          <w:rFonts w:ascii="Times New Roman" w:hAnsi="Times New Roman" w:eastAsia="宋体" w:cs="Times New Roman"/>
          <w:kern w:val="0"/>
          <w:sz w:val="28"/>
          <w:szCs w:val="28"/>
        </w:rPr>
      </w:pPr>
    </w:p>
    <w:p>
      <w:pPr>
        <w:spacing w:line="48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安徽省永丰粮食购销有限公司：</w:t>
      </w:r>
    </w:p>
    <w:p>
      <w:pPr>
        <w:spacing w:line="48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我方参加贵单位组织的</w:t>
      </w:r>
      <w:r>
        <w:rPr>
          <w:rFonts w:hint="eastAsia" w:cs="Times New Roman" w:asciiTheme="minorEastAsia" w:hAnsiTheme="minorEastAsia"/>
          <w:kern w:val="0"/>
          <w:sz w:val="24"/>
          <w:szCs w:val="24"/>
          <w:u w:val="single"/>
        </w:rPr>
        <w:t>（项目编号、项目名称）</w:t>
      </w:r>
      <w:r>
        <w:rPr>
          <w:rFonts w:hint="eastAsia" w:cs="Times New Roman" w:asciiTheme="minorEastAsia" w:hAnsiTheme="minorEastAsia"/>
          <w:kern w:val="0"/>
          <w:sz w:val="24"/>
          <w:szCs w:val="24"/>
        </w:rPr>
        <w:t>招标采购活动，并对</w:t>
      </w:r>
      <w:r>
        <w:rPr>
          <w:rFonts w:hint="eastAsia" w:cs="Times New Roman" w:asciiTheme="minorEastAsia" w:hAnsiTheme="minorEastAsia"/>
          <w:kern w:val="0"/>
          <w:sz w:val="24"/>
          <w:szCs w:val="24"/>
          <w:u w:val="single"/>
        </w:rPr>
        <w:t>（包号或货物名称）</w:t>
      </w:r>
      <w:r>
        <w:rPr>
          <w:rFonts w:hint="eastAsia" w:cs="Times New Roman" w:asciiTheme="minorEastAsia" w:hAnsiTheme="minorEastAsia"/>
          <w:kern w:val="0"/>
          <w:sz w:val="24"/>
          <w:szCs w:val="24"/>
        </w:rPr>
        <w:t>进行投标。</w:t>
      </w:r>
    </w:p>
    <w:p>
      <w:pPr>
        <w:spacing w:line="48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一、按照谈判文件规定递交响应文件正本份和副本份，电子版响应文件份。其中，《价格文件》</w:t>
      </w:r>
      <w:r>
        <w:rPr>
          <w:rFonts w:cs="Times New Roman" w:asciiTheme="minorEastAsia" w:hAnsiTheme="minorEastAsia"/>
          <w:color w:val="FF0000"/>
          <w:kern w:val="0"/>
          <w:sz w:val="24"/>
          <w:szCs w:val="24"/>
        </w:rPr>
        <w:t>3</w:t>
      </w:r>
      <w:r>
        <w:rPr>
          <w:rFonts w:hint="eastAsia" w:cs="Times New Roman" w:asciiTheme="minorEastAsia" w:hAnsiTheme="minorEastAsia"/>
          <w:kern w:val="0"/>
          <w:sz w:val="24"/>
          <w:szCs w:val="24"/>
        </w:rPr>
        <w:t>份单独密封提交。</w:t>
      </w:r>
    </w:p>
    <w:p>
      <w:pPr>
        <w:spacing w:line="48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二、我方已完全理解谈判文件的全部内容，自愿接受并执行谈判文件的全部条款。</w:t>
      </w:r>
    </w:p>
    <w:p>
      <w:pPr>
        <w:spacing w:line="48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三、本响应文件有效期自开标之日起60日内有效。</w:t>
      </w:r>
    </w:p>
    <w:p>
      <w:pPr>
        <w:spacing w:line="48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四、我方在参与投标前已仔细研究了谈判文件和所有相关资料，同意谈判文件的相关条款。</w:t>
      </w:r>
    </w:p>
    <w:p>
      <w:pPr>
        <w:spacing w:line="48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五、我方声明响应文件及所提供的一切资料均真实有效。由于我方提供资料不实而造成的责任和后果由我方承担。我方同意按照贵部要求，提供与招标有关数据或信息。</w:t>
      </w:r>
    </w:p>
    <w:p>
      <w:pPr>
        <w:spacing w:line="48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六、我方承诺自愿遵守、执行政府采购管理法规制度及政策规定。</w:t>
      </w:r>
    </w:p>
    <w:p>
      <w:pPr>
        <w:spacing w:line="48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七、联系方式</w:t>
      </w:r>
    </w:p>
    <w:p>
      <w:pPr>
        <w:spacing w:line="480" w:lineRule="exact"/>
        <w:ind w:firstLine="960" w:firstLineChars="4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联 系 人：        电话：          传    真：     </w:t>
      </w:r>
    </w:p>
    <w:p>
      <w:pPr>
        <w:spacing w:line="480" w:lineRule="exact"/>
        <w:ind w:firstLine="960" w:firstLineChars="4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地    址：                        邮政编码：        </w:t>
      </w:r>
    </w:p>
    <w:p>
      <w:pPr>
        <w:spacing w:line="480" w:lineRule="exact"/>
        <w:ind w:firstLine="960" w:firstLineChars="4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开户名称： </w:t>
      </w:r>
    </w:p>
    <w:p>
      <w:pPr>
        <w:spacing w:line="480" w:lineRule="exact"/>
        <w:ind w:firstLine="960" w:firstLineChars="4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开户银行：                       </w:t>
      </w:r>
    </w:p>
    <w:p>
      <w:pPr>
        <w:spacing w:line="480" w:lineRule="exact"/>
        <w:ind w:firstLine="960" w:firstLineChars="4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银行账号：                        </w:t>
      </w:r>
    </w:p>
    <w:p>
      <w:pPr>
        <w:spacing w:line="480" w:lineRule="exact"/>
        <w:ind w:firstLine="1176" w:firstLineChars="490"/>
        <w:rPr>
          <w:rFonts w:cs="Times New Roman" w:asciiTheme="minorEastAsia" w:hAnsiTheme="minorEastAsia"/>
          <w:kern w:val="0"/>
          <w:sz w:val="24"/>
          <w:szCs w:val="24"/>
        </w:rPr>
      </w:pPr>
    </w:p>
    <w:p>
      <w:pPr>
        <w:spacing w:line="480" w:lineRule="exact"/>
        <w:ind w:firstLine="1440" w:firstLineChars="600"/>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供应商全称：（盖章）</w:t>
      </w:r>
    </w:p>
    <w:p>
      <w:pPr>
        <w:spacing w:line="480" w:lineRule="exact"/>
        <w:ind w:firstLine="1440" w:firstLineChars="600"/>
        <w:rPr>
          <w:rFonts w:cs="宋体" w:asciiTheme="minorEastAsia" w:hAnsiTheme="minorEastAsia"/>
          <w:kern w:val="0"/>
          <w:sz w:val="24"/>
          <w:szCs w:val="24"/>
        </w:rPr>
      </w:pPr>
      <w:r>
        <w:rPr>
          <w:rFonts w:hint="eastAsia" w:cs="宋体" w:asciiTheme="minorEastAsia" w:hAnsiTheme="minorEastAsia"/>
          <w:kern w:val="0"/>
          <w:sz w:val="24"/>
          <w:szCs w:val="24"/>
          <w:lang w:val="zh-CN"/>
        </w:rPr>
        <w:t xml:space="preserve">法定代表人（或授权代表）：（签字）  </w:t>
      </w:r>
    </w:p>
    <w:p>
      <w:pPr>
        <w:spacing w:line="480" w:lineRule="exact"/>
        <w:ind w:firstLine="3360" w:firstLineChars="1400"/>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年  月  日</w:t>
      </w:r>
    </w:p>
    <w:p>
      <w:pPr>
        <w:spacing w:line="480" w:lineRule="exact"/>
        <w:ind w:right="539"/>
        <w:rPr>
          <w:rFonts w:cs="Times New Roman" w:asciiTheme="minorEastAsia" w:hAnsiTheme="minorEastAsia"/>
          <w:kern w:val="0"/>
          <w:sz w:val="24"/>
          <w:szCs w:val="24"/>
        </w:rPr>
        <w:sectPr>
          <w:pgSz w:w="11906" w:h="16838"/>
          <w:pgMar w:top="1440" w:right="1440" w:bottom="1440" w:left="1440" w:header="851" w:footer="992" w:gutter="0"/>
          <w:cols w:space="720" w:num="1"/>
          <w:docGrid w:linePitch="579" w:charSpace="-1844"/>
        </w:sectPr>
      </w:pPr>
    </w:p>
    <w:p>
      <w:pPr>
        <w:spacing w:line="480" w:lineRule="exact"/>
        <w:ind w:right="539"/>
        <w:rPr>
          <w:rFonts w:cs="Times New Roman" w:asciiTheme="minorEastAsia" w:hAnsiTheme="minorEastAsia"/>
          <w:kern w:val="0"/>
          <w:sz w:val="24"/>
          <w:szCs w:val="24"/>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货物简要说明一览表</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项目名称：                   项目编号：                </w:t>
      </w:r>
    </w:p>
    <w:tbl>
      <w:tblPr>
        <w:tblStyle w:val="19"/>
        <w:tblW w:w="5000" w:type="pct"/>
        <w:jc w:val="center"/>
        <w:tblLayout w:type="autofit"/>
        <w:tblCellMar>
          <w:top w:w="0" w:type="dxa"/>
          <w:left w:w="0" w:type="dxa"/>
          <w:bottom w:w="0" w:type="dxa"/>
          <w:right w:w="0" w:type="dxa"/>
        </w:tblCellMar>
      </w:tblPr>
      <w:tblGrid>
        <w:gridCol w:w="660"/>
        <w:gridCol w:w="2721"/>
        <w:gridCol w:w="691"/>
        <w:gridCol w:w="1028"/>
        <w:gridCol w:w="2616"/>
        <w:gridCol w:w="1350"/>
      </w:tblGrid>
      <w:tr>
        <w:tblPrEx>
          <w:tblCellMar>
            <w:top w:w="0" w:type="dxa"/>
            <w:left w:w="0" w:type="dxa"/>
            <w:bottom w:w="0" w:type="dxa"/>
            <w:right w:w="0" w:type="dxa"/>
          </w:tblCellMar>
        </w:tblPrEx>
        <w:trPr>
          <w:trHeight w:val="851" w:hRule="exac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主要部件名称</w:t>
            </w:r>
          </w:p>
        </w:tc>
        <w:tc>
          <w:tcPr>
            <w:tcW w:w="67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计量</w:t>
            </w:r>
          </w:p>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w:t>
            </w:r>
          </w:p>
        </w:tc>
        <w:tc>
          <w:tcPr>
            <w:tcW w:w="100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数量</w:t>
            </w:r>
          </w:p>
        </w:tc>
        <w:tc>
          <w:tcPr>
            <w:tcW w:w="256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bl>
    <w:p>
      <w:pPr>
        <w:rPr>
          <w:rFonts w:cs="Times New Roman" w:asciiTheme="minorEastAsia" w:hAnsiTheme="minorEastAsia"/>
          <w:kern w:val="0"/>
          <w:sz w:val="24"/>
          <w:szCs w:val="24"/>
          <w:lang w:val="zh-CN"/>
        </w:rPr>
      </w:pPr>
    </w:p>
    <w:p>
      <w:pPr>
        <w:rPr>
          <w:rFonts w:cs="Times New Roman" w:asciiTheme="minorEastAsia" w:hAnsiTheme="minorEastAsia"/>
          <w:kern w:val="0"/>
          <w:sz w:val="24"/>
          <w:szCs w:val="24"/>
          <w:lang w:val="zh-CN"/>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供应商全称：（盖章）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sectPr>
          <w:pgSz w:w="11906" w:h="16838"/>
          <w:pgMar w:top="1440" w:right="1440" w:bottom="1440" w:left="1440" w:header="851" w:footer="992" w:gutter="0"/>
          <w:cols w:space="720" w:num="1"/>
          <w:docGrid w:linePitch="579" w:charSpace="-1844"/>
        </w:sect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附件6</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9"/>
        <w:tblW w:w="5000" w:type="pct"/>
        <w:jc w:val="center"/>
        <w:tblLayout w:type="autofit"/>
        <w:tblCellMar>
          <w:top w:w="0" w:type="dxa"/>
          <w:left w:w="108" w:type="dxa"/>
          <w:bottom w:w="0" w:type="dxa"/>
          <w:right w:w="108" w:type="dxa"/>
        </w:tblCellMar>
      </w:tblPr>
      <w:tblGrid>
        <w:gridCol w:w="828"/>
        <w:gridCol w:w="2998"/>
        <w:gridCol w:w="2520"/>
        <w:gridCol w:w="2896"/>
      </w:tblGrid>
      <w:tr>
        <w:tblPrEx>
          <w:tblCellMar>
            <w:top w:w="0" w:type="dxa"/>
            <w:left w:w="108" w:type="dxa"/>
            <w:bottom w:w="0" w:type="dxa"/>
            <w:right w:w="108" w:type="dxa"/>
          </w:tblCellMar>
        </w:tblPrEx>
        <w:trPr>
          <w:trHeight w:val="63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spacing w:line="300" w:lineRule="exact"/>
              <w:ind w:firstLine="240"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spacing w:line="300" w:lineRule="exact"/>
              <w:ind w:firstLine="600" w:firstLineChars="250"/>
              <w:jc w:val="center"/>
              <w:rPr>
                <w:rFonts w:ascii="宋体" w:hAnsi="宋体" w:eastAsia="宋体" w:cs="Times New Roman"/>
                <w:kern w:val="0"/>
                <w:sz w:val="24"/>
                <w:szCs w:val="24"/>
              </w:rPr>
            </w:pPr>
            <w:r>
              <w:rPr>
                <w:rFonts w:hint="eastAsia" w:ascii="宋体" w:hAnsi="宋体" w:eastAsia="宋体" w:cs="Times New Roman"/>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执行标准</w:t>
            </w: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宋体" w:hAnsi="宋体" w:eastAsia="宋体" w:cs="Times New Roman"/>
                <w:kern w:val="0"/>
                <w:sz w:val="24"/>
                <w:szCs w:val="24"/>
              </w:rPr>
            </w:pPr>
          </w:p>
        </w:tc>
      </w:tr>
      <w:tr>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宋体" w:hAnsi="宋体" w:eastAsia="宋体" w:cs="Times New Roman"/>
                <w:kern w:val="0"/>
                <w:sz w:val="24"/>
                <w:szCs w:val="24"/>
              </w:rPr>
            </w:pPr>
          </w:p>
        </w:tc>
      </w:tr>
      <w:tr>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bl>
    <w:p>
      <w:pPr>
        <w:ind w:firstLine="480" w:firstLineChars="200"/>
        <w:rPr>
          <w:rFonts w:ascii="宋体" w:hAnsi="宋体" w:eastAsia="宋体" w:cs="Times New Roman"/>
          <w:kern w:val="0"/>
          <w:sz w:val="24"/>
          <w:szCs w:val="24"/>
        </w:rPr>
      </w:pPr>
    </w:p>
    <w:p>
      <w:pPr>
        <w:rPr>
          <w:rFonts w:ascii="宋体" w:hAnsi="宋体" w:eastAsia="宋体" w:cs="Times New Roman"/>
          <w:kern w:val="0"/>
          <w:sz w:val="24"/>
          <w:szCs w:val="24"/>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供应商全称：（盖章）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sectPr>
          <w:pgSz w:w="11906" w:h="16838"/>
          <w:pgMar w:top="1440" w:right="1440" w:bottom="1440" w:left="1440" w:header="851" w:footer="992" w:gutter="0"/>
          <w:cols w:space="720" w:num="1"/>
          <w:docGrid w:linePitch="579" w:charSpace="-1844"/>
        </w:sect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附件7</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技术指标参数响应偏离表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456"/>
        <w:gridCol w:w="2050"/>
        <w:gridCol w:w="2050"/>
        <w:gridCol w:w="1540"/>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r>
              <w:rPr>
                <w:rFonts w:ascii="宋体" w:hAnsi="宋体" w:eastAsia="宋体" w:cs="Times New Roman"/>
                <w:kern w:val="0"/>
                <w:sz w:val="24"/>
                <w:szCs w:val="24"/>
              </w:rPr>
              <w:t>/</w:t>
            </w:r>
            <w:r>
              <w:rPr>
                <w:rFonts w:hint="eastAsia" w:ascii="宋体" w:hAnsi="宋体" w:eastAsia="宋体" w:cs="Times New Roman"/>
                <w:kern w:val="0"/>
                <w:sz w:val="24"/>
                <w:szCs w:val="24"/>
              </w:rPr>
              <w:t>部件</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bl>
    <w:p>
      <w:pPr>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hint="eastAsia" w:ascii="宋体" w:hAnsi="宋体" w:eastAsia="宋体" w:cs="Times New Roman"/>
          <w:bCs/>
          <w:kern w:val="0"/>
          <w:sz w:val="24"/>
          <w:szCs w:val="24"/>
        </w:rPr>
        <w:t>供应商应对照谈判文件技术要求，逐条如实填写所投产品的具体指标参数，注明无偏离、正偏离或负偏离，并在备注中注明偏离的具体内容。技术指标参数响应栏如果原文复制谈判文件技术要求，可能会被视为无效投标。</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供应商全称：（盖章）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sectPr>
          <w:pgSz w:w="11906" w:h="16838"/>
          <w:pgMar w:top="1440" w:right="1440" w:bottom="1440" w:left="1440" w:header="851" w:footer="992" w:gutter="0"/>
          <w:cols w:space="720" w:num="1"/>
          <w:docGrid w:linePitch="579" w:charSpace="-1844"/>
        </w:sectPr>
      </w:pP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附件8</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952"/>
        <w:gridCol w:w="2317"/>
        <w:gridCol w:w="2663"/>
        <w:gridCol w:w="816"/>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谈判文件条目号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ind w:firstLine="98" w:firstLineChars="41"/>
              <w:rPr>
                <w:rFonts w:cs="Times New Roman" w:asciiTheme="minorEastAsia" w:hAnsiTheme="minorEastAsia"/>
                <w:sz w:val="24"/>
                <w:szCs w:val="24"/>
              </w:rPr>
            </w:pPr>
            <w:r>
              <w:rPr>
                <w:rFonts w:hint="eastAsia" w:cs="Times New Roman" w:asciiTheme="minorEastAsia" w:hAnsiTheme="minorEastAsia"/>
                <w:kern w:val="0"/>
                <w:sz w:val="24"/>
                <w:szCs w:val="24"/>
              </w:rPr>
              <w:t>谈判文件商务条款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响应文件商务条款响应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00" w:lineRule="exact"/>
              <w:rPr>
                <w:rFonts w:cs="Times New Roman" w:asciiTheme="minorEastAsia" w:hAnsiTheme="minorEastAsia"/>
                <w:sz w:val="24"/>
                <w:szCs w:val="24"/>
              </w:rPr>
            </w:pPr>
          </w:p>
        </w:tc>
      </w:tr>
    </w:tbl>
    <w:p>
      <w:pPr>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商务条款主要包括报价要求、售后服务、专利权和保密要求、交货时间、地点与方式、付款及结算方式等。如有遗漏，请供应商按照谈判文件正文自行补充完整。</w:t>
      </w:r>
    </w:p>
    <w:p>
      <w:pPr>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本表所列条款必须一一予以响应，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响应文件商务条款响应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请供应商认真填写本表内容，如填写错误将可能导致投标无效。</w:t>
      </w:r>
    </w:p>
    <w:p>
      <w:pPr>
        <w:ind w:firstLine="3165" w:firstLineChars="1319"/>
        <w:rPr>
          <w:rFonts w:cs="Times New Roman" w:asciiTheme="minorEastAsia" w:hAnsiTheme="minorEastAsia"/>
          <w:kern w:val="0"/>
          <w:sz w:val="24"/>
          <w:szCs w:val="24"/>
        </w:rPr>
      </w:pPr>
    </w:p>
    <w:p>
      <w:pPr>
        <w:ind w:firstLine="3693" w:firstLineChars="1319"/>
        <w:rPr>
          <w:rFonts w:ascii="Times New Roman" w:hAnsi="Times New Roman" w:eastAsia="宋体" w:cs="Times New Roman"/>
          <w:kern w:val="0"/>
          <w:sz w:val="28"/>
          <w:szCs w:val="28"/>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供应商全称：（盖章）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snapToGrid w:val="0"/>
          <w:kern w:val="0"/>
          <w:sz w:val="32"/>
          <w:szCs w:val="32"/>
          <w:lang w:val="zh-CN"/>
        </w:rPr>
      </w:pPr>
      <w:r>
        <w:rPr>
          <w:rFonts w:ascii="Times New Roman" w:hAnsi="Times New Roman" w:eastAsia="宋体" w:cs="Times New Roman"/>
          <w:snapToGrid w:val="0"/>
          <w:kern w:val="0"/>
          <w:sz w:val="28"/>
          <w:szCs w:val="28"/>
          <w:lang w:val="zh-CN"/>
        </w:rPr>
        <w:br w:type="page"/>
      </w:r>
      <w:r>
        <w:rPr>
          <w:rFonts w:hint="eastAsia" w:ascii="黑体" w:hAnsi="黑体" w:eastAsia="黑体" w:cs="Times New Roman"/>
          <w:kern w:val="0"/>
          <w:sz w:val="32"/>
          <w:szCs w:val="32"/>
        </w:rPr>
        <w:t>附件9</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8"/>
        <w:gridCol w:w="1678"/>
        <w:gridCol w:w="1165"/>
        <w:gridCol w:w="1862"/>
        <w:gridCol w:w="1064"/>
        <w:gridCol w:w="984"/>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品牌</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规格型号</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autoSpaceDE w:val="0"/>
        <w:autoSpaceDN w:val="0"/>
        <w:adjustRightInd w:val="0"/>
        <w:ind w:firstLine="403" w:firstLineChars="168"/>
        <w:rPr>
          <w:rFonts w:ascii="Times New Roman" w:hAnsi="Times New Roman" w:eastAsia="宋体" w:cs="Times New Roman"/>
          <w:snapToGrid w:val="0"/>
          <w:kern w:val="0"/>
          <w:sz w:val="24"/>
          <w:szCs w:val="24"/>
          <w:lang w:val="zh-CN"/>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供应商全称：（盖章）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仿宋_GB2312" w:hAnsi="宋体" w:eastAsia="仿宋_GB2312" w:cs="宋体"/>
          <w:kern w:val="0"/>
          <w:sz w:val="32"/>
          <w:szCs w:val="32"/>
          <w:lang w:val="zh-CN"/>
        </w:rPr>
      </w:pPr>
      <w:r>
        <w:rPr>
          <w:rFonts w:ascii="Times New Roman" w:hAnsi="Times New Roman" w:eastAsia="宋体" w:cs="Times New Roman"/>
          <w:kern w:val="0"/>
          <w:sz w:val="28"/>
          <w:szCs w:val="28"/>
          <w:lang w:val="zh-CN"/>
        </w:rPr>
        <w:br w:type="page"/>
      </w:r>
      <w:r>
        <w:rPr>
          <w:rFonts w:hint="eastAsia" w:ascii="黑体" w:hAnsi="黑体" w:eastAsia="黑体" w:cs="Times New Roman"/>
          <w:kern w:val="0"/>
          <w:sz w:val="32"/>
          <w:szCs w:val="32"/>
        </w:rPr>
        <w:t>附件1</w:t>
      </w:r>
      <w:r>
        <w:rPr>
          <w:rFonts w:ascii="黑体" w:hAnsi="黑体" w:eastAsia="黑体" w:cs="Times New Roman"/>
          <w:kern w:val="0"/>
          <w:sz w:val="32"/>
          <w:szCs w:val="32"/>
        </w:rPr>
        <w:t>0</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谈判保证金</w:t>
      </w:r>
    </w:p>
    <w:p>
      <w:pPr>
        <w:ind w:left="1260" w:leftChars="600"/>
      </w:pPr>
    </w:p>
    <w:tbl>
      <w:tblPr>
        <w:tblStyle w:val="19"/>
        <w:tblW w:w="0" w:type="auto"/>
        <w:jc w:val="center"/>
        <w:tblLayout w:type="fixed"/>
        <w:tblCellMar>
          <w:top w:w="0" w:type="dxa"/>
          <w:left w:w="0" w:type="dxa"/>
          <w:bottom w:w="0" w:type="dxa"/>
          <w:right w:w="0" w:type="dxa"/>
        </w:tblCellMar>
      </w:tblPr>
      <w:tblGrid>
        <w:gridCol w:w="2821"/>
        <w:gridCol w:w="5550"/>
      </w:tblGrid>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r>
              <w:rPr>
                <w:rFonts w:hint="eastAsia" w:ascii="宋体" w:hAnsi="宋体" w:cs="宋体"/>
                <w:sz w:val="24"/>
                <w:szCs w:val="20"/>
              </w:rPr>
              <w:t>供应商全称：</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p>
        </w:tc>
      </w:tr>
      <w:tr>
        <w:tblPrEx>
          <w:tblCellMar>
            <w:top w:w="0" w:type="dxa"/>
            <w:left w:w="0" w:type="dxa"/>
            <w:bottom w:w="0" w:type="dxa"/>
            <w:right w:w="0" w:type="dxa"/>
          </w:tblCellMar>
        </w:tblPrEx>
        <w:trPr>
          <w:trHeight w:val="454" w:hRule="exact"/>
          <w:jc w:val="center"/>
        </w:trPr>
        <w:tc>
          <w:tcPr>
            <w:tcW w:w="837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center"/>
              <w:rPr>
                <w:rFonts w:ascii="宋体" w:hAnsi="宋体" w:cs="宋体"/>
                <w:b/>
                <w:sz w:val="24"/>
                <w:szCs w:val="20"/>
              </w:rPr>
            </w:pPr>
            <w:r>
              <w:rPr>
                <w:rFonts w:hint="eastAsia" w:ascii="宋体" w:hAnsi="宋体" w:cs="宋体"/>
                <w:b/>
                <w:sz w:val="24"/>
                <w:szCs w:val="20"/>
              </w:rPr>
              <w:t>保证金的递交</w:t>
            </w: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r>
              <w:rPr>
                <w:rFonts w:hint="eastAsia" w:ascii="宋体" w:hAnsi="宋体" w:cs="宋体"/>
                <w:sz w:val="24"/>
                <w:szCs w:val="20"/>
              </w:rPr>
              <w:t>已递交的保证金形式：</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ind w:firstLine="480"/>
              <w:jc w:val="left"/>
              <w:rPr>
                <w:rFonts w:ascii="宋体" w:hAnsi="宋体" w:cs="宋体"/>
                <w:sz w:val="24"/>
                <w:szCs w:val="20"/>
              </w:rPr>
            </w:pP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r>
              <w:rPr>
                <w:rFonts w:hint="eastAsia" w:ascii="宋体" w:hAnsi="宋体" w:cs="宋体"/>
                <w:sz w:val="24"/>
                <w:szCs w:val="20"/>
              </w:rPr>
              <w:t>已递交的保证金金额：</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p>
        </w:tc>
      </w:tr>
      <w:tr>
        <w:tblPrEx>
          <w:tblCellMar>
            <w:top w:w="0" w:type="dxa"/>
            <w:left w:w="0" w:type="dxa"/>
            <w:bottom w:w="0" w:type="dxa"/>
            <w:right w:w="0" w:type="dxa"/>
          </w:tblCellMar>
        </w:tblPrEx>
        <w:trPr>
          <w:trHeight w:val="454" w:hRule="exact"/>
          <w:jc w:val="center"/>
        </w:trPr>
        <w:tc>
          <w:tcPr>
            <w:tcW w:w="837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center"/>
              <w:rPr>
                <w:rFonts w:ascii="宋体" w:hAnsi="宋体" w:cs="宋体"/>
                <w:b/>
                <w:sz w:val="24"/>
                <w:szCs w:val="20"/>
              </w:rPr>
            </w:pPr>
            <w:r>
              <w:rPr>
                <w:rFonts w:hint="eastAsia" w:ascii="宋体" w:hAnsi="宋体" w:cs="宋体"/>
                <w:b/>
                <w:sz w:val="24"/>
                <w:szCs w:val="20"/>
              </w:rPr>
              <w:t>保证金的退还</w:t>
            </w: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r>
              <w:rPr>
                <w:rFonts w:hint="eastAsia" w:ascii="宋体" w:hAnsi="宋体" w:cs="宋体"/>
                <w:sz w:val="24"/>
                <w:szCs w:val="20"/>
              </w:rPr>
              <w:t>开户行：</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r>
              <w:rPr>
                <w:rFonts w:hint="eastAsia" w:ascii="宋体" w:hAnsi="宋体" w:cs="宋体"/>
                <w:sz w:val="24"/>
                <w:szCs w:val="20"/>
              </w:rPr>
              <w:t>户  名：</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r>
              <w:rPr>
                <w:rFonts w:hint="eastAsia" w:ascii="宋体" w:hAnsi="宋体" w:cs="宋体"/>
                <w:sz w:val="24"/>
                <w:szCs w:val="20"/>
              </w:rPr>
              <w:t>帐  号：</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r>
              <w:rPr>
                <w:rFonts w:hint="eastAsia" w:ascii="宋体" w:hAnsi="宋体" w:cs="宋体"/>
                <w:sz w:val="24"/>
                <w:szCs w:val="20"/>
              </w:rPr>
              <w:t>保证金退还联系人：</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r>
              <w:rPr>
                <w:rFonts w:hint="eastAsia" w:ascii="宋体" w:hAnsi="宋体" w:cs="宋体"/>
                <w:sz w:val="24"/>
                <w:szCs w:val="20"/>
              </w:rPr>
              <w:t>联系电话：</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gridSpan w:val="2"/>
          </w:tcPr>
          <w:p>
            <w:pPr>
              <w:spacing w:line="360" w:lineRule="auto"/>
              <w:rPr>
                <w:rFonts w:ascii="宋体" w:hAnsi="宋体" w:cs="宋体"/>
                <w:sz w:val="24"/>
                <w:szCs w:val="20"/>
              </w:rPr>
            </w:pPr>
          </w:p>
          <w:p>
            <w:pPr>
              <w:spacing w:line="360" w:lineRule="auto"/>
              <w:rPr>
                <w:rFonts w:ascii="宋体" w:hAnsi="宋体" w:cs="宋体"/>
                <w:sz w:val="24"/>
                <w:szCs w:val="20"/>
              </w:rPr>
            </w:pPr>
          </w:p>
          <w:p>
            <w:pPr>
              <w:spacing w:line="360" w:lineRule="auto"/>
              <w:rPr>
                <w:rFonts w:ascii="宋体" w:hAnsi="宋体" w:cs="宋体"/>
                <w:sz w:val="24"/>
                <w:szCs w:val="20"/>
              </w:rPr>
            </w:pPr>
          </w:p>
          <w:p>
            <w:pPr>
              <w:spacing w:line="360" w:lineRule="auto"/>
              <w:jc w:val="center"/>
              <w:rPr>
                <w:rFonts w:ascii="宋体" w:hAnsi="宋体" w:cs="宋体"/>
                <w:sz w:val="24"/>
                <w:szCs w:val="20"/>
              </w:rPr>
            </w:pPr>
            <w:r>
              <w:rPr>
                <w:rFonts w:hint="eastAsia" w:ascii="宋体" w:hAnsi="宋体" w:cs="宋体"/>
                <w:sz w:val="24"/>
                <w:szCs w:val="20"/>
              </w:rPr>
              <w:t>（谈判保证金汇款凭证）</w:t>
            </w:r>
          </w:p>
          <w:p>
            <w:pPr>
              <w:spacing w:line="360" w:lineRule="auto"/>
              <w:rPr>
                <w:rFonts w:ascii="宋体" w:hAnsi="宋体" w:cs="宋体"/>
                <w:sz w:val="24"/>
                <w:szCs w:val="20"/>
              </w:rPr>
            </w:pPr>
          </w:p>
          <w:p>
            <w:pPr>
              <w:spacing w:line="360" w:lineRule="auto"/>
              <w:rPr>
                <w:rFonts w:ascii="宋体" w:hAnsi="宋体" w:cs="宋体"/>
                <w:sz w:val="24"/>
                <w:szCs w:val="20"/>
              </w:rPr>
            </w:pPr>
          </w:p>
          <w:p>
            <w:pPr>
              <w:spacing w:line="360" w:lineRule="auto"/>
              <w:rPr>
                <w:rFonts w:ascii="宋体" w:hAnsi="宋体" w:cs="宋体"/>
                <w:sz w:val="24"/>
                <w:szCs w:val="20"/>
              </w:rPr>
            </w:pPr>
          </w:p>
        </w:tc>
      </w:tr>
    </w:tbl>
    <w:p>
      <w:pPr>
        <w:pStyle w:val="2"/>
        <w:ind w:left="1260"/>
        <w:sectPr>
          <w:pgSz w:w="11906" w:h="16838"/>
          <w:pgMar w:top="1440" w:right="1440" w:bottom="1440" w:left="1440" w:header="851" w:footer="992" w:gutter="0"/>
          <w:cols w:space="720" w:num="1"/>
          <w:docGrid w:linePitch="579" w:charSpace="-1844"/>
        </w:sectPr>
      </w:pPr>
    </w:p>
    <w:p>
      <w:pPr>
        <w:pStyle w:val="2"/>
        <w:ind w:left="1260"/>
      </w:pPr>
    </w:p>
    <w:p>
      <w:pPr>
        <w:rPr>
          <w:rFonts w:ascii="黑体" w:hAnsi="黑体" w:eastAsia="黑体" w:cs="Times New Roman"/>
          <w:kern w:val="0"/>
          <w:sz w:val="32"/>
          <w:szCs w:val="32"/>
        </w:rPr>
      </w:pPr>
      <w:r>
        <w:rPr>
          <w:rFonts w:hint="eastAsia" w:ascii="黑体" w:hAnsi="黑体" w:eastAsia="黑体" w:cs="Times New Roman"/>
          <w:kern w:val="0"/>
          <w:sz w:val="32"/>
          <w:szCs w:val="32"/>
        </w:rPr>
        <w:t>附件11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整体实施计划及施工方案</w:t>
      </w:r>
    </w:p>
    <w:p>
      <w:pPr>
        <w:ind w:firstLine="560" w:firstLineChars="200"/>
        <w:rPr>
          <w:rFonts w:ascii="Times New Roman" w:hAnsi="Times New Roman" w:eastAsia="宋体" w:cs="Times New Roman"/>
          <w:kern w:val="0"/>
          <w:sz w:val="28"/>
          <w:szCs w:val="28"/>
          <w:lang w:val="zh-CN"/>
        </w:rPr>
      </w:pPr>
    </w:p>
    <w:p>
      <w:pPr>
        <w:ind w:firstLine="640" w:firstLineChars="200"/>
        <w:jc w:val="center"/>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（供应商对照商务评审表中售后服务评审项自行编制。）</w:t>
      </w:r>
    </w:p>
    <w:p>
      <w:pPr>
        <w:autoSpaceDE w:val="0"/>
        <w:autoSpaceDN w:val="0"/>
        <w:adjustRightInd w:val="0"/>
        <w:ind w:firstLine="403" w:firstLineChars="168"/>
        <w:rPr>
          <w:rFonts w:ascii="Times New Roman" w:hAnsi="Times New Roman" w:eastAsia="宋体" w:cs="Times New Roman"/>
          <w:kern w:val="0"/>
          <w:sz w:val="24"/>
          <w:szCs w:val="24"/>
          <w:lang w:val="zh-CN"/>
        </w:rPr>
      </w:pPr>
    </w:p>
    <w:p>
      <w:pPr>
        <w:autoSpaceDE w:val="0"/>
        <w:autoSpaceDN w:val="0"/>
        <w:adjustRightInd w:val="0"/>
        <w:ind w:firstLine="403" w:firstLineChars="168"/>
        <w:rPr>
          <w:rFonts w:ascii="Times New Roman" w:hAnsi="Times New Roman" w:eastAsia="宋体" w:cs="Times New Roman"/>
          <w:kern w:val="0"/>
          <w:sz w:val="24"/>
          <w:szCs w:val="24"/>
          <w:lang w:val="zh-CN"/>
        </w:rPr>
      </w:pPr>
    </w:p>
    <w:p>
      <w:pPr>
        <w:autoSpaceDE w:val="0"/>
        <w:autoSpaceDN w:val="0"/>
        <w:adjustRightInd w:val="0"/>
        <w:ind w:firstLine="403" w:firstLineChars="168"/>
        <w:rPr>
          <w:rFonts w:ascii="Times New Roman" w:hAnsi="Times New Roman" w:eastAsia="宋体" w:cs="Times New Roman"/>
          <w:kern w:val="0"/>
          <w:sz w:val="24"/>
          <w:szCs w:val="24"/>
          <w:lang w:val="zh-CN"/>
        </w:rPr>
      </w:pPr>
    </w:p>
    <w:p>
      <w:pPr>
        <w:autoSpaceDE w:val="0"/>
        <w:autoSpaceDN w:val="0"/>
        <w:adjustRightInd w:val="0"/>
        <w:ind w:firstLine="403" w:firstLineChars="168"/>
        <w:rPr>
          <w:rFonts w:ascii="Times New Roman" w:hAnsi="Times New Roman" w:eastAsia="宋体" w:cs="Times New Roman"/>
          <w:kern w:val="0"/>
          <w:sz w:val="24"/>
          <w:szCs w:val="24"/>
          <w:lang w:val="zh-CN"/>
        </w:rPr>
      </w:pPr>
    </w:p>
    <w:p>
      <w:pPr>
        <w:autoSpaceDE w:val="0"/>
        <w:autoSpaceDN w:val="0"/>
        <w:adjustRightInd w:val="0"/>
        <w:ind w:firstLine="403" w:firstLineChars="168"/>
        <w:rPr>
          <w:rFonts w:ascii="Times New Roman" w:hAnsi="Times New Roman" w:eastAsia="宋体" w:cs="Times New Roman"/>
          <w:kern w:val="0"/>
          <w:sz w:val="24"/>
          <w:szCs w:val="24"/>
          <w:lang w:val="zh-CN"/>
        </w:rPr>
      </w:pPr>
    </w:p>
    <w:p>
      <w:pPr>
        <w:autoSpaceDE w:val="0"/>
        <w:autoSpaceDN w:val="0"/>
        <w:adjustRightInd w:val="0"/>
        <w:ind w:firstLine="403" w:firstLineChars="168"/>
        <w:rPr>
          <w:rFonts w:ascii="Times New Roman" w:hAnsi="Times New Roman" w:eastAsia="宋体" w:cs="Times New Roman"/>
          <w:kern w:val="0"/>
          <w:sz w:val="24"/>
          <w:szCs w:val="24"/>
          <w:lang w:val="zh-CN"/>
        </w:rPr>
      </w:pPr>
    </w:p>
    <w:p>
      <w:pPr>
        <w:autoSpaceDE w:val="0"/>
        <w:autoSpaceDN w:val="0"/>
        <w:adjustRightInd w:val="0"/>
        <w:ind w:firstLine="403" w:firstLineChars="168"/>
        <w:rPr>
          <w:rFonts w:ascii="Times New Roman" w:hAnsi="Times New Roman" w:eastAsia="宋体" w:cs="Times New Roman"/>
          <w:kern w:val="0"/>
          <w:sz w:val="24"/>
          <w:szCs w:val="24"/>
          <w:lang w:val="zh-CN"/>
        </w:rPr>
      </w:pPr>
    </w:p>
    <w:p>
      <w:pPr>
        <w:autoSpaceDE w:val="0"/>
        <w:autoSpaceDN w:val="0"/>
        <w:adjustRightInd w:val="0"/>
        <w:ind w:firstLine="403" w:firstLineChars="168"/>
        <w:rPr>
          <w:rFonts w:ascii="Times New Roman" w:hAnsi="Times New Roman" w:eastAsia="宋体" w:cs="Times New Roman"/>
          <w:kern w:val="0"/>
          <w:sz w:val="24"/>
          <w:szCs w:val="24"/>
          <w:lang w:val="zh-CN"/>
        </w:rPr>
      </w:pPr>
    </w:p>
    <w:p>
      <w:pPr>
        <w:autoSpaceDE w:val="0"/>
        <w:autoSpaceDN w:val="0"/>
        <w:adjustRightInd w:val="0"/>
        <w:ind w:firstLine="403" w:firstLineChars="168"/>
        <w:rPr>
          <w:rFonts w:ascii="Times New Roman" w:hAnsi="Times New Roman" w:eastAsia="宋体" w:cs="Times New Roman"/>
          <w:kern w:val="0"/>
          <w:sz w:val="24"/>
          <w:szCs w:val="24"/>
          <w:lang w:val="zh-CN"/>
        </w:rPr>
      </w:pPr>
    </w:p>
    <w:p>
      <w:pPr>
        <w:autoSpaceDE w:val="0"/>
        <w:autoSpaceDN w:val="0"/>
        <w:adjustRightInd w:val="0"/>
        <w:ind w:firstLine="403" w:firstLineChars="168"/>
        <w:rPr>
          <w:rFonts w:ascii="Times New Roman" w:hAnsi="Times New Roman" w:eastAsia="宋体" w:cs="Times New Roman"/>
          <w:kern w:val="0"/>
          <w:sz w:val="24"/>
          <w:szCs w:val="24"/>
          <w:lang w:val="zh-CN"/>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供应商全称：（盖章）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sectPr>
          <w:pgSz w:w="11906" w:h="16838"/>
          <w:pgMar w:top="1440" w:right="1440" w:bottom="1440" w:left="1440" w:header="851" w:footer="992" w:gutter="0"/>
          <w:cols w:space="720" w:num="1"/>
          <w:docGrid w:linePitch="579" w:charSpace="-1844"/>
        </w:sect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售后服务及承诺</w:t>
      </w:r>
    </w:p>
    <w:p>
      <w:pPr>
        <w:ind w:firstLine="560" w:firstLineChars="200"/>
        <w:rPr>
          <w:rFonts w:ascii="Times New Roman" w:hAnsi="Times New Roman" w:eastAsia="宋体" w:cs="Times New Roman"/>
          <w:snapToGrid w:val="0"/>
          <w:kern w:val="0"/>
          <w:sz w:val="28"/>
          <w:szCs w:val="28"/>
          <w:lang w:val="zh-CN"/>
        </w:rPr>
      </w:pPr>
    </w:p>
    <w:p>
      <w:pPr>
        <w:ind w:firstLine="640" w:firstLineChars="20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（供应商对照商务评审表中售后服务评审项自行编制。）</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供应商全称：（盖章）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sectPr>
          <w:pgSz w:w="11906" w:h="16838"/>
          <w:pgMar w:top="1440" w:right="1440" w:bottom="1440" w:left="1440" w:header="851" w:footer="992" w:gutter="0"/>
          <w:cols w:space="720" w:num="1"/>
          <w:docGrid w:linePitch="579" w:charSpace="-1844"/>
        </w:sectPr>
      </w:pP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3</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保密承诺书</w:t>
      </w:r>
    </w:p>
    <w:p>
      <w:pPr>
        <w:spacing w:line="240" w:lineRule="exact"/>
        <w:rPr>
          <w:rFonts w:ascii="Times New Roman" w:hAnsi="Times New Roman" w:eastAsia="宋体" w:cs="Times New Roman"/>
          <w:kern w:val="0"/>
          <w:sz w:val="32"/>
          <w:szCs w:val="32"/>
        </w:rPr>
      </w:pPr>
    </w:p>
    <w:p>
      <w:pPr>
        <w:spacing w:line="520" w:lineRule="exact"/>
        <w:rPr>
          <w:rFonts w:ascii="仿宋_GB2312" w:hAnsi="Times New Roman" w:eastAsia="仿宋_GB2312" w:cs="Times New Roman"/>
          <w:snapToGrid w:val="0"/>
          <w:kern w:val="0"/>
          <w:sz w:val="32"/>
          <w:szCs w:val="32"/>
        </w:rPr>
      </w:pPr>
      <w:r>
        <w:rPr>
          <w:rFonts w:hint="eastAsia" w:ascii="仿宋_GB2312" w:hAnsi="仿宋" w:eastAsia="仿宋_GB2312" w:cs="Times New Roman"/>
          <w:kern w:val="0"/>
          <w:sz w:val="32"/>
          <w:szCs w:val="32"/>
        </w:rPr>
        <w:t>安徽省永丰粮食购销有限公司</w:t>
      </w:r>
      <w:r>
        <w:rPr>
          <w:rFonts w:hint="eastAsia" w:ascii="仿宋_GB2312" w:hAnsi="Times New Roman" w:eastAsia="仿宋_GB2312" w:cs="Times New Roman"/>
          <w:snapToGrid w:val="0"/>
          <w:kern w:val="0"/>
          <w:sz w:val="32"/>
          <w:szCs w:val="32"/>
        </w:rPr>
        <w:t>：</w:t>
      </w:r>
    </w:p>
    <w:p>
      <w:pPr>
        <w:autoSpaceDE w:val="0"/>
        <w:autoSpaceDN w:val="0"/>
        <w:adjustRightInd w:val="0"/>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zh-CN"/>
        </w:rPr>
        <w:t>我方参加贵单位组织的编号为</w:t>
      </w:r>
      <w:r>
        <w:rPr>
          <w:rFonts w:hint="eastAsia" w:ascii="仿宋_GB2312" w:hAnsi="Times New Roman" w:eastAsia="仿宋_GB2312" w:cs="Times New Roman"/>
          <w:kern w:val="0"/>
          <w:sz w:val="32"/>
          <w:szCs w:val="32"/>
        </w:rPr>
        <w:t>、项目采购活动，根据有关保密法规制度，知悉应当承担的保密义务和法律责任，承诺如下：</w:t>
      </w:r>
    </w:p>
    <w:p>
      <w:pPr>
        <w:autoSpaceDE w:val="0"/>
        <w:autoSpaceDN w:val="0"/>
        <w:adjustRightInd w:val="0"/>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一、严格遵守国家的保密法律法规和规章制度，履行保密义务。</w:t>
      </w:r>
    </w:p>
    <w:p>
      <w:pPr>
        <w:autoSpaceDE w:val="0"/>
        <w:autoSpaceDN w:val="0"/>
        <w:adjustRightInd w:val="0"/>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二、不以任何方式泄露或传播本次采购项目相关信息。</w:t>
      </w:r>
    </w:p>
    <w:p>
      <w:pPr>
        <w:autoSpaceDE w:val="0"/>
        <w:autoSpaceDN w:val="0"/>
        <w:adjustRightInd w:val="0"/>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三、不违规记录、存储、复制本次采购项目相关信息。</w:t>
      </w:r>
    </w:p>
    <w:p>
      <w:pPr>
        <w:autoSpaceDE w:val="0"/>
        <w:autoSpaceDN w:val="0"/>
        <w:adjustRightInd w:val="0"/>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四、谈判文件以及相关技术文件专室放置、专盘存储、专人管理。</w:t>
      </w:r>
    </w:p>
    <w:p>
      <w:pPr>
        <w:autoSpaceDE w:val="0"/>
        <w:autoSpaceDN w:val="0"/>
        <w:adjustRightInd w:val="0"/>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五、未经采购人审查批准，不得擅自在互联网、通讯媒体等发表涉及此次采购项目相关内容或资讯。 </w:t>
      </w:r>
    </w:p>
    <w:p>
      <w:pPr>
        <w:autoSpaceDE w:val="0"/>
        <w:autoSpaceDN w:val="0"/>
        <w:adjustRightInd w:val="0"/>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违反上述承诺，愿承担一切法律责任，接受采购管理部门和采购人按国家规定作出的相关处罚。</w:t>
      </w:r>
    </w:p>
    <w:p>
      <w:pPr>
        <w:spacing w:line="560" w:lineRule="exact"/>
        <w:ind w:firstLine="1125" w:firstLineChars="402"/>
        <w:rPr>
          <w:rFonts w:ascii="Times New Roman" w:hAnsi="Times New Roman" w:eastAsia="宋体" w:cs="Times New Roman"/>
          <w:kern w:val="0"/>
          <w:sz w:val="28"/>
          <w:szCs w:val="28"/>
        </w:rPr>
      </w:pPr>
    </w:p>
    <w:p>
      <w:pPr>
        <w:spacing w:line="560" w:lineRule="exact"/>
        <w:ind w:firstLine="1125" w:firstLineChars="402"/>
        <w:rPr>
          <w:rFonts w:ascii="Times New Roman" w:hAnsi="Times New Roman" w:eastAsia="宋体" w:cs="Times New Roman"/>
          <w:kern w:val="0"/>
          <w:sz w:val="28"/>
          <w:szCs w:val="28"/>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供应商全称：（盖章）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sectPr>
          <w:pgSz w:w="11906" w:h="16838"/>
          <w:pgMar w:top="1440" w:right="1440" w:bottom="1440" w:left="1440" w:header="851" w:footer="992" w:gutter="0"/>
          <w:cols w:space="720" w:num="1"/>
          <w:docGrid w:linePitch="579" w:charSpace="-1844"/>
        </w:sectPr>
      </w:pP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附件14</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近3年中标成交案例及同类项目案例</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858"/>
        <w:gridCol w:w="996"/>
        <w:gridCol w:w="1715"/>
        <w:gridCol w:w="1421"/>
        <w:gridCol w:w="1076"/>
        <w:gridCol w:w="1481"/>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项目内容</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（包括同类项目，产品名称、型号等）</w:t>
            </w: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合同有效</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金额（万元）</w:t>
            </w: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签订</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日期</w:t>
            </w: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用户联系</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人及电话</w:t>
            </w: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r>
    </w:tbl>
    <w:p>
      <w:pPr>
        <w:ind w:left="960" w:hanging="960"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备注：1.同类项目指本次招标的产品或同类产品。合同有效金额是指合同中本次招标的产品或同类产品金额。</w:t>
      </w:r>
    </w:p>
    <w:p>
      <w:pPr>
        <w:ind w:left="958" w:leftChars="342" w:hanging="240"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2.供应商应附销售合同复印件，按合同有效金额由高到低顺序装订，包括：合同首尾页、签字盖章页、合同金额页、产品信息页。</w:t>
      </w:r>
    </w:p>
    <w:p>
      <w:pPr>
        <w:ind w:left="958" w:leftChars="342" w:hanging="240"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3.供应商提供虚假合同的，按虚假投标处理。</w:t>
      </w:r>
    </w:p>
    <w:p>
      <w:pPr>
        <w:jc w:val="center"/>
        <w:rPr>
          <w:rFonts w:ascii="Times New Roman" w:hAnsi="Times New Roman" w:eastAsia="宋体" w:cs="Times New Roman"/>
          <w:kern w:val="0"/>
          <w:sz w:val="28"/>
          <w:szCs w:val="28"/>
          <w:lang w:val="zh-CN"/>
        </w:rPr>
      </w:pPr>
    </w:p>
    <w:p>
      <w:pPr>
        <w:jc w:val="center"/>
        <w:rPr>
          <w:rFonts w:ascii="Times New Roman" w:hAnsi="Times New Roman" w:eastAsia="宋体" w:cs="Times New Roman"/>
          <w:kern w:val="0"/>
          <w:sz w:val="28"/>
          <w:szCs w:val="28"/>
          <w:lang w:val="zh-CN"/>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供应商全称：（盖章）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ind w:firstLine="6333" w:firstLineChars="2639"/>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敷时，可以另加页</w:t>
      </w:r>
    </w:p>
    <w:p>
      <w:pPr>
        <w:rPr>
          <w:rFonts w:ascii="黑体" w:hAnsi="黑体" w:eastAsia="黑体" w:cs="Times New Roman"/>
          <w:kern w:val="0"/>
          <w:sz w:val="32"/>
          <w:szCs w:val="32"/>
        </w:rPr>
        <w:sectPr>
          <w:pgSz w:w="11906" w:h="16838"/>
          <w:pgMar w:top="1440" w:right="1440" w:bottom="1440" w:left="1440" w:header="851" w:footer="992" w:gutter="0"/>
          <w:cols w:space="720" w:num="1"/>
          <w:docGrid w:linePitch="579" w:charSpace="-1844"/>
        </w:sectPr>
      </w:pPr>
    </w:p>
    <w:p>
      <w:pPr>
        <w:rPr>
          <w:rFonts w:ascii="黑体" w:hAnsi="黑体" w:eastAsia="黑体" w:cs="Times New Roman"/>
          <w:kern w:val="0"/>
          <w:sz w:val="32"/>
          <w:szCs w:val="32"/>
        </w:rPr>
      </w:pPr>
      <w:r>
        <w:rPr>
          <w:rFonts w:ascii="黑体" w:hAnsi="黑体" w:eastAsia="黑体" w:cs="Times New Roman"/>
          <w:kern w:val="0"/>
          <w:sz w:val="32"/>
          <w:szCs w:val="32"/>
        </w:rPr>
        <w:tab/>
      </w:r>
      <w:r>
        <w:rPr>
          <w:rFonts w:hint="eastAsia" w:ascii="黑体" w:hAnsi="黑体" w:eastAsia="黑体" w:cs="Times New Roman"/>
          <w:kern w:val="0"/>
          <w:sz w:val="32"/>
          <w:szCs w:val="32"/>
        </w:rPr>
        <w:t>附件</w:t>
      </w:r>
      <w:r>
        <w:rPr>
          <w:rFonts w:ascii="黑体" w:hAnsi="黑体" w:eastAsia="黑体" w:cs="Times New Roman"/>
          <w:kern w:val="0"/>
          <w:sz w:val="32"/>
          <w:szCs w:val="32"/>
        </w:rPr>
        <w:t>15</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法定代表人资格证明书</w:t>
      </w:r>
    </w:p>
    <w:p>
      <w:pPr>
        <w:ind w:firstLine="560" w:firstLineChars="200"/>
        <w:rPr>
          <w:rFonts w:ascii="Times New Roman" w:hAnsi="Times New Roman" w:eastAsia="楷体_GB2312" w:cs="Times New Roman"/>
          <w:sz w:val="28"/>
          <w:szCs w:val="28"/>
        </w:rPr>
      </w:pP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u w:val="single"/>
        </w:rPr>
        <w:t>（法定代表人姓名）</w:t>
      </w:r>
      <w:r>
        <w:rPr>
          <w:rFonts w:hint="eastAsia" w:ascii="仿宋_GB2312" w:hAnsi="Times New Roman" w:eastAsia="仿宋_GB2312" w:cs="Times New Roman"/>
          <w:sz w:val="32"/>
          <w:szCs w:val="32"/>
        </w:rPr>
        <w:t>系</w:t>
      </w:r>
      <w:r>
        <w:rPr>
          <w:rFonts w:hint="eastAsia" w:ascii="仿宋_GB2312" w:hAnsi="Times New Roman" w:eastAsia="仿宋_GB2312" w:cs="Times New Roman"/>
          <w:sz w:val="32"/>
          <w:szCs w:val="32"/>
          <w:u w:val="single"/>
        </w:rPr>
        <w:t>（供应商全称）</w:t>
      </w:r>
      <w:r>
        <w:rPr>
          <w:rFonts w:hint="eastAsia" w:ascii="仿宋_GB2312" w:hAnsi="Times New Roman" w:eastAsia="仿宋_GB2312" w:cs="Times New Roman"/>
          <w:sz w:val="32"/>
          <w:szCs w:val="32"/>
        </w:rPr>
        <w:t>的法定代表人。</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特此证明</w:t>
      </w:r>
    </w:p>
    <w:p>
      <w:pPr>
        <w:rPr>
          <w:rFonts w:ascii="Times New Roman" w:hAnsi="Times New Roman" w:eastAsia="宋体" w:cs="Times New Roman"/>
          <w:sz w:val="28"/>
          <w:szCs w:val="28"/>
        </w:rPr>
      </w:pPr>
      <w:r>
        <w:rPr>
          <w:rFonts w:ascii="Times New Roman" w:hAnsi="Times New Roman" w:eastAsia="宋体" w:cs="Times New Roman"/>
          <w:sz w:val="24"/>
          <w:szCs w:val="24"/>
        </w:rPr>
        <w:pict>
          <v:shape id="文本框 5" o:spid="_x0000_s1043" o:spt="202" type="#_x0000_t202" style="position:absolute;left:0pt;margin-left:226.9pt;margin-top:10.35pt;height:103.9pt;width:209.1pt;z-index:251660288;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ascii="Times New Roman" w:hAnsi="Times New Roman" w:eastAsia="宋体" w:cs="Times New Roman"/>
          <w:sz w:val="24"/>
          <w:szCs w:val="24"/>
        </w:rPr>
        <w:pict>
          <v:shape id="文本框 6" o:spid="_x0000_s1042" o:spt="202" type="#_x0000_t202" style="position:absolute;left:0pt;margin-left:2.1pt;margin-top:10.35pt;height:103.9pt;width:206.6pt;z-index:251659264;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ind w:firstLine="4900" w:firstLineChars="1750"/>
        <w:rPr>
          <w:rFonts w:ascii="Times New Roman" w:hAnsi="Times New Roman" w:eastAsia="宋体" w:cs="Times New Roman"/>
          <w:sz w:val="28"/>
          <w:szCs w:val="28"/>
        </w:rPr>
      </w:pPr>
    </w:p>
    <w:p>
      <w:pPr>
        <w:rPr>
          <w:rFonts w:ascii="Times New Roman" w:hAnsi="Times New Roman" w:eastAsia="宋体" w:cs="Times New Roman"/>
          <w:kern w:val="0"/>
          <w:sz w:val="28"/>
          <w:szCs w:val="28"/>
        </w:rPr>
      </w:pPr>
    </w:p>
    <w:p>
      <w:pPr>
        <w:ind w:firstLine="5600" w:firstLineChars="1750"/>
        <w:rPr>
          <w:rFonts w:ascii="仿宋_GB2312" w:hAnsi="Times New Roman" w:eastAsia="仿宋_GB2312" w:cs="Times New Roman"/>
          <w:kern w:val="0"/>
          <w:sz w:val="32"/>
          <w:szCs w:val="32"/>
        </w:rPr>
      </w:pPr>
    </w:p>
    <w:p>
      <w:pPr>
        <w:ind w:firstLine="3840" w:firstLineChars="1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供应商全称：（盖章）</w:t>
      </w:r>
    </w:p>
    <w:p>
      <w:pPr>
        <w:ind w:firstLine="4547" w:firstLineChars="14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年  月  日</w:t>
      </w:r>
    </w:p>
    <w:p>
      <w:pPr>
        <w:rPr>
          <w:rFonts w:ascii="Times New Roman" w:hAnsi="Times New Roman" w:eastAsia="宋体" w:cs="Times New Roman"/>
          <w:kern w:val="0"/>
          <w:sz w:val="32"/>
          <w:szCs w:val="32"/>
        </w:rPr>
      </w:pPr>
    </w:p>
    <w:p>
      <w:pPr>
        <w:rPr>
          <w:rFonts w:ascii="Times New Roman" w:hAnsi="Times New Roman" w:eastAsia="宋体" w:cs="Times New Roman"/>
          <w:kern w:val="0"/>
          <w:sz w:val="24"/>
          <w:szCs w:val="24"/>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sectPr>
          <w:pgSz w:w="11906" w:h="16838"/>
          <w:pgMar w:top="1440" w:right="1440" w:bottom="1440" w:left="1440" w:header="851" w:footer="992" w:gutter="0"/>
          <w:cols w:space="720" w:num="1"/>
          <w:docGrid w:linePitch="579" w:charSpace="-1844"/>
        </w:sect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16</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法定代表人授权书</w:t>
      </w:r>
    </w:p>
    <w:p>
      <w:pPr>
        <w:rPr>
          <w:rFonts w:ascii="Times New Roman" w:hAnsi="Times New Roman" w:eastAsia="宋体" w:cs="Times New Roman"/>
          <w:kern w:val="0"/>
          <w:sz w:val="28"/>
          <w:szCs w:val="28"/>
        </w:rPr>
      </w:pPr>
    </w:p>
    <w:p>
      <w:pPr>
        <w:spacing w:line="520" w:lineRule="exact"/>
        <w:ind w:firstLine="640"/>
        <w:rPr>
          <w:rFonts w:ascii="仿宋_GB2312" w:hAnsi="Times New Roman" w:eastAsia="仿宋_GB2312" w:cs="Times New Roman"/>
          <w:snapToGrid w:val="0"/>
          <w:kern w:val="0"/>
          <w:sz w:val="32"/>
          <w:szCs w:val="32"/>
        </w:rPr>
      </w:pPr>
      <w:r>
        <w:rPr>
          <w:rFonts w:hint="eastAsia" w:ascii="仿宋_GB2312" w:hAnsi="仿宋" w:eastAsia="仿宋_GB2312" w:cs="Times New Roman"/>
          <w:kern w:val="0"/>
          <w:sz w:val="32"/>
          <w:szCs w:val="32"/>
        </w:rPr>
        <w:t>安徽省永丰粮食购销有限公司</w:t>
      </w:r>
      <w:r>
        <w:rPr>
          <w:rFonts w:hint="eastAsia" w:ascii="仿宋_GB2312" w:hAnsi="Times New Roman" w:eastAsia="仿宋_GB2312" w:cs="Times New Roman"/>
          <w:snapToGrid w:val="0"/>
          <w:kern w:val="0"/>
          <w:sz w:val="32"/>
          <w:szCs w:val="32"/>
        </w:rPr>
        <w:t>：</w:t>
      </w:r>
    </w:p>
    <w:p>
      <w:pPr>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u w:val="single"/>
        </w:rPr>
        <w:t>（供应商全称）</w:t>
      </w:r>
      <w:r>
        <w:rPr>
          <w:rFonts w:hint="eastAsia" w:ascii="仿宋_GB2312" w:hAnsi="宋体" w:eastAsia="仿宋_GB2312" w:cs="Times New Roman"/>
          <w:kern w:val="0"/>
          <w:sz w:val="32"/>
          <w:szCs w:val="32"/>
        </w:rPr>
        <w:t>法定代表人</w:t>
      </w:r>
      <w:r>
        <w:rPr>
          <w:rFonts w:hint="eastAsia" w:ascii="仿宋_GB2312" w:hAnsi="宋体" w:eastAsia="仿宋_GB2312" w:cs="Times New Roman"/>
          <w:kern w:val="0"/>
          <w:sz w:val="32"/>
          <w:szCs w:val="32"/>
          <w:u w:val="single"/>
        </w:rPr>
        <w:t>（姓名、职务）</w:t>
      </w:r>
      <w:r>
        <w:rPr>
          <w:rFonts w:hint="eastAsia" w:ascii="仿宋_GB2312" w:hAnsi="宋体" w:eastAsia="仿宋_GB2312" w:cs="Times New Roman"/>
          <w:kern w:val="0"/>
          <w:sz w:val="32"/>
          <w:szCs w:val="32"/>
        </w:rPr>
        <w:t xml:space="preserve"> 授权</w:t>
      </w:r>
      <w:r>
        <w:rPr>
          <w:rFonts w:hint="eastAsia" w:ascii="仿宋_GB2312" w:hAnsi="宋体" w:eastAsia="仿宋_GB2312" w:cs="Times New Roman"/>
          <w:kern w:val="0"/>
          <w:sz w:val="32"/>
          <w:szCs w:val="32"/>
          <w:u w:val="single"/>
        </w:rPr>
        <w:t>（授权代表姓名、职务）</w:t>
      </w:r>
      <w:r>
        <w:rPr>
          <w:rFonts w:hint="eastAsia" w:ascii="仿宋_GB2312" w:hAnsi="宋体" w:eastAsia="仿宋_GB2312" w:cs="Times New Roman"/>
          <w:kern w:val="0"/>
          <w:sz w:val="32"/>
          <w:szCs w:val="32"/>
        </w:rPr>
        <w:t>为全权代表，参加贵单位组织的项目编号为</w:t>
      </w:r>
      <w:r>
        <w:rPr>
          <w:rFonts w:hint="eastAsia" w:ascii="仿宋_GB2312" w:hAnsi="宋体" w:eastAsia="仿宋_GB2312" w:cs="Times New Roman"/>
          <w:kern w:val="0"/>
          <w:sz w:val="32"/>
          <w:szCs w:val="32"/>
          <w:u w:val="single"/>
        </w:rPr>
        <w:t>（项目编号）</w:t>
      </w:r>
      <w:r>
        <w:rPr>
          <w:rFonts w:hint="eastAsia" w:ascii="仿宋_GB2312" w:hAnsi="宋体" w:eastAsia="仿宋_GB2312" w:cs="Times New Roman"/>
          <w:kern w:val="0"/>
          <w:sz w:val="32"/>
          <w:szCs w:val="32"/>
        </w:rPr>
        <w:t>的</w:t>
      </w:r>
      <w:r>
        <w:rPr>
          <w:rFonts w:hint="eastAsia" w:ascii="仿宋_GB2312" w:hAnsi="宋体" w:eastAsia="仿宋_GB2312" w:cs="Times New Roman"/>
          <w:kern w:val="0"/>
          <w:sz w:val="32"/>
          <w:szCs w:val="32"/>
          <w:u w:val="single"/>
        </w:rPr>
        <w:t>（项目名称）</w:t>
      </w:r>
      <w:r>
        <w:rPr>
          <w:rFonts w:hint="eastAsia" w:ascii="仿宋_GB2312" w:hAnsi="宋体" w:eastAsia="仿宋_GB2312" w:cs="Times New Roman"/>
          <w:kern w:val="0"/>
          <w:sz w:val="32"/>
          <w:szCs w:val="32"/>
        </w:rPr>
        <w:t>采购活动，全权处理采购活动中的一切事宜。</w:t>
      </w:r>
    </w:p>
    <w:p>
      <w:pPr>
        <w:ind w:firstLine="600"/>
        <w:rPr>
          <w:rFonts w:ascii="仿宋_GB2312" w:hAnsi="宋体" w:eastAsia="仿宋_GB2312" w:cs="Times New Roman"/>
          <w:kern w:val="0"/>
          <w:sz w:val="32"/>
          <w:szCs w:val="32"/>
        </w:rPr>
      </w:pPr>
    </w:p>
    <w:p>
      <w:pPr>
        <w:ind w:firstLine="3840"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供应商全称：（盖章）</w:t>
      </w:r>
    </w:p>
    <w:p>
      <w:pPr>
        <w:ind w:firstLine="3840"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法定代表人：（签字或盖章）</w:t>
      </w:r>
    </w:p>
    <w:p>
      <w:pPr>
        <w:ind w:firstLine="5488" w:firstLineChars="1715"/>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年月日</w:t>
      </w: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授权代表姓名：              </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职    务：电话：</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传    真：邮编：</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通讯地址：</w:t>
      </w:r>
    </w:p>
    <w:p>
      <w:pPr>
        <w:spacing w:line="560" w:lineRule="exact"/>
        <w:ind w:firstLine="573"/>
        <w:rPr>
          <w:rFonts w:ascii="Times New Roman" w:hAnsi="Times New Roman" w:eastAsia="宋体" w:cs="Times New Roman"/>
          <w:kern w:val="0"/>
          <w:sz w:val="24"/>
          <w:szCs w:val="24"/>
        </w:rPr>
      </w:pPr>
      <w:r>
        <w:rPr>
          <w:rFonts w:ascii="Times New Roman" w:hAnsi="Times New Roman" w:eastAsia="宋体" w:cs="Times New Roman"/>
          <w:szCs w:val="24"/>
        </w:rPr>
        <w:pict>
          <v:shape id="文本框 1" o:spid="_x0000_s1045" o:spt="202" type="#_x0000_t202" style="position:absolute;left:0pt;margin-left:228.25pt;margin-top:14.25pt;height:105.95pt;width:210.95pt;z-index:251662336;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ascii="Times New Roman" w:hAnsi="Times New Roman" w:eastAsia="宋体" w:cs="Times New Roman"/>
          <w:szCs w:val="24"/>
        </w:rPr>
        <w:pict>
          <v:shape id="文本框 2" o:spid="_x0000_s1044" o:spt="202" type="#_x0000_t202" style="position:absolute;left:0pt;margin-left:1.4pt;margin-top:15.6pt;height:104.6pt;width:211.6pt;z-index:251661312;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rPr>
          <w:rFonts w:ascii="黑体" w:hAnsi="黑体" w:eastAsia="黑体" w:cs="Times New Roman"/>
          <w:kern w:val="0"/>
          <w:sz w:val="32"/>
          <w:szCs w:val="32"/>
        </w:rPr>
      </w:pPr>
    </w:p>
    <w:p>
      <w:pPr>
        <w:tabs>
          <w:tab w:val="left" w:pos="1065"/>
        </w:tabs>
        <w:rPr>
          <w:rFonts w:ascii="黑体" w:hAnsi="黑体" w:eastAsia="黑体" w:cs="Times New Roman"/>
          <w:kern w:val="0"/>
          <w:sz w:val="32"/>
          <w:szCs w:val="32"/>
        </w:rPr>
      </w:pPr>
    </w:p>
    <w:p>
      <w:pPr>
        <w:tabs>
          <w:tab w:val="left" w:pos="1065"/>
        </w:tabs>
        <w:rPr>
          <w:rFonts w:ascii="黑体" w:hAnsi="黑体" w:eastAsia="黑体" w:cs="Times New Roman"/>
          <w:sz w:val="32"/>
          <w:szCs w:val="32"/>
        </w:rPr>
        <w:sectPr>
          <w:pgSz w:w="11906" w:h="16838"/>
          <w:pgMar w:top="1440" w:right="1440" w:bottom="1440" w:left="1440" w:header="851" w:footer="992" w:gutter="0"/>
          <w:cols w:space="720" w:num="1"/>
          <w:docGrid w:linePitch="579" w:charSpace="-1844"/>
        </w:sectPr>
      </w:pPr>
      <w:r>
        <w:rPr>
          <w:rFonts w:ascii="黑体" w:hAnsi="黑体" w:eastAsia="黑体" w:cs="Times New Roman"/>
          <w:sz w:val="32"/>
          <w:szCs w:val="32"/>
        </w:rPr>
        <w:tab/>
      </w:r>
    </w:p>
    <w:p>
      <w:pPr>
        <w:rPr>
          <w:rFonts w:ascii="黑体" w:hAnsi="黑体" w:eastAsia="黑体" w:cs="Times New Roman"/>
          <w:snapToGrid w:val="0"/>
          <w:kern w:val="0"/>
          <w:sz w:val="32"/>
          <w:szCs w:val="32"/>
          <w:lang w:val="zh-CN"/>
        </w:rPr>
      </w:pPr>
      <w:r>
        <w:rPr>
          <w:rFonts w:hint="eastAsia" w:ascii="黑体" w:hAnsi="黑体" w:eastAsia="黑体" w:cs="Times New Roman"/>
          <w:kern w:val="0"/>
          <w:sz w:val="32"/>
          <w:szCs w:val="32"/>
        </w:rPr>
        <w:t>附件</w:t>
      </w:r>
      <w:r>
        <w:rPr>
          <w:rFonts w:ascii="黑体" w:hAnsi="黑体" w:eastAsia="黑体" w:cs="Times New Roman"/>
          <w:kern w:val="0"/>
          <w:sz w:val="32"/>
          <w:szCs w:val="32"/>
        </w:rPr>
        <w:t>17</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技术评审表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1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3"/>
        <w:gridCol w:w="1752"/>
        <w:gridCol w:w="3263"/>
        <w:gridCol w:w="1631"/>
        <w:gridCol w:w="1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评审项目</w:t>
            </w: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评审内容及规则</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标准分值</w:t>
            </w: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所在页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ind w:right="924"/>
        <w:rPr>
          <w:rFonts w:ascii="Times New Roman" w:hAnsi="Times New Roman" w:eastAsia="宋体" w:cs="Times New Roman"/>
          <w:kern w:val="0"/>
          <w:sz w:val="24"/>
          <w:szCs w:val="24"/>
        </w:rPr>
        <w:sectPr>
          <w:pgSz w:w="11906" w:h="16838"/>
          <w:pgMar w:top="1440" w:right="1440" w:bottom="1440" w:left="1440" w:header="851" w:footer="992" w:gutter="0"/>
          <w:cols w:space="720" w:num="1"/>
          <w:docGrid w:linePitch="579" w:charSpace="-1844"/>
        </w:sectPr>
      </w:pPr>
    </w:p>
    <w:p>
      <w:pPr>
        <w:ind w:right="924"/>
        <w:rPr>
          <w:rFonts w:ascii="Times New Roman" w:hAnsi="Times New Roman" w:eastAsia="宋体" w:cs="Times New Roman"/>
          <w:kern w:val="0"/>
          <w:sz w:val="24"/>
          <w:szCs w:val="24"/>
        </w:rPr>
      </w:pPr>
    </w:p>
    <w:p>
      <w:pPr>
        <w:rPr>
          <w:rFonts w:ascii="黑体" w:hAnsi="黑体" w:eastAsia="黑体" w:cs="Times New Roman"/>
          <w:snapToGrid w:val="0"/>
          <w:kern w:val="0"/>
          <w:sz w:val="32"/>
          <w:szCs w:val="32"/>
          <w:lang w:val="zh-CN"/>
        </w:rPr>
      </w:pPr>
      <w:r>
        <w:rPr>
          <w:rFonts w:hint="eastAsia" w:ascii="黑体" w:hAnsi="黑体" w:eastAsia="黑体" w:cs="Times New Roman"/>
          <w:kern w:val="0"/>
          <w:sz w:val="32"/>
          <w:szCs w:val="32"/>
        </w:rPr>
        <w:t>附件</w:t>
      </w:r>
      <w:r>
        <w:rPr>
          <w:rFonts w:ascii="黑体" w:hAnsi="黑体" w:eastAsia="黑体" w:cs="Times New Roman"/>
          <w:kern w:val="0"/>
          <w:sz w:val="32"/>
          <w:szCs w:val="32"/>
        </w:rPr>
        <w:t>18</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商务评审表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1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3"/>
        <w:gridCol w:w="1752"/>
        <w:gridCol w:w="3263"/>
        <w:gridCol w:w="1631"/>
        <w:gridCol w:w="1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评审项目</w:t>
            </w: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评审内容及规则</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标准分值</w:t>
            </w: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所在页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ind w:firstLine="1920"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480"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jc w:val="left"/>
        <w:sectPr>
          <w:pgSz w:w="11906" w:h="16838"/>
          <w:pgMar w:top="1440" w:right="1440" w:bottom="1440" w:left="1440" w:header="851" w:footer="992" w:gutter="0"/>
          <w:cols w:space="720" w:num="1"/>
          <w:docGrid w:linePitch="579" w:charSpace="-1844"/>
        </w:sectPr>
      </w:pPr>
    </w:p>
    <w:p>
      <w:pPr>
        <w:rPr>
          <w:rFonts w:ascii="黑体" w:hAnsi="黑体" w:eastAsia="黑体" w:cs="Times New Roman"/>
          <w:kern w:val="0"/>
          <w:sz w:val="32"/>
          <w:szCs w:val="32"/>
        </w:rPr>
      </w:pPr>
      <w:bookmarkStart w:id="30" w:name="_Toc1096"/>
      <w:bookmarkStart w:id="31" w:name="_Toc18342"/>
      <w:bookmarkStart w:id="32" w:name="_Toc28196"/>
      <w:bookmarkStart w:id="33" w:name="_Toc19657"/>
      <w:r>
        <w:rPr>
          <w:rFonts w:hint="eastAsia" w:ascii="黑体" w:hAnsi="黑体" w:eastAsia="黑体" w:cs="Times New Roman"/>
          <w:kern w:val="0"/>
          <w:sz w:val="32"/>
          <w:szCs w:val="32"/>
        </w:rPr>
        <w:t>附件</w:t>
      </w:r>
      <w:r>
        <w:rPr>
          <w:rFonts w:ascii="黑体" w:hAnsi="黑体" w:eastAsia="黑体" w:cs="Times New Roman"/>
          <w:kern w:val="0"/>
          <w:sz w:val="32"/>
          <w:szCs w:val="32"/>
        </w:rPr>
        <w:t>19</w:t>
      </w:r>
    </w:p>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其他资料</w:t>
      </w:r>
      <w:bookmarkEnd w:id="30"/>
      <w:bookmarkEnd w:id="31"/>
      <w:bookmarkEnd w:id="32"/>
      <w:bookmarkEnd w:id="33"/>
    </w:p>
    <w:p>
      <w:pPr>
        <w:spacing w:line="360" w:lineRule="auto"/>
        <w:rPr>
          <w:rFonts w:ascii="宋体" w:hAnsi="宋体" w:cs="宋体"/>
          <w:sz w:val="24"/>
        </w:rPr>
      </w:pPr>
      <w:r>
        <w:rPr>
          <w:rFonts w:hint="eastAsia" w:ascii="宋体" w:hAnsi="宋体" w:cs="宋体"/>
          <w:sz w:val="24"/>
        </w:rPr>
        <w:t>供应商认为需要的，而上述没有列举的其它材料</w:t>
      </w:r>
    </w:p>
    <w:p>
      <w:pPr>
        <w:ind w:left="1260" w:leftChars="600"/>
      </w:pPr>
    </w:p>
    <w:sectPr>
      <w:pgSz w:w="11906" w:h="16838"/>
      <w:pgMar w:top="1440" w:right="1440" w:bottom="1440" w:left="1440" w:header="851" w:footer="992" w:gutter="0"/>
      <w:cols w:space="720" w:num="1"/>
      <w:docGrid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方正大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11</w:t>
    </w:r>
    <w:r>
      <w:rPr>
        <w:lang w:val="zh-C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p>
    <w:pPr>
      <w:pStyle w:val="14"/>
      <w:jc w:val="both"/>
    </w:pPr>
    <w:r>
      <w:rPr>
        <w:rFonts w:hint="eastAsia"/>
      </w:rPr>
      <w:t>安徽省永丰粮食购销有限公司2.5万吨粮食仓储设施项目机械通风设备采购及安装工程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rPr>
      <w:t>安徽省永丰粮食购销有限公司2.5万吨粮食仓储设施项目机械通风设备采购及安装工程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rPr>
      <w:t xml:space="preserve">安徽省粮食集团检测中心设备及仪器采购项目                     </w:t>
    </w:r>
    <w:r>
      <w:t xml:space="preserve">  </w:t>
    </w:r>
    <w:r>
      <w:rPr>
        <w:rFonts w:hint="eastAsia"/>
      </w:rPr>
      <w:t xml:space="preserve">                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rPr>
      <w:t>安徽省永丰粮食购销有限公司2.5万吨粮食仓储设施项目机械通风设备采购及安装工程           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b/>
      </w:rPr>
    </w:pPr>
    <w:r>
      <w:rPr>
        <w:rFonts w:hint="eastAsia"/>
        <w:b/>
      </w:rPr>
      <w:t xml:space="preserve">安徽省粮食集团检测中心设备及仪器采购项目                     </w:t>
    </w:r>
    <w:r>
      <w:rPr>
        <w:b/>
      </w:rPr>
      <w:t xml:space="preserve">  </w:t>
    </w:r>
    <w:r>
      <w:rPr>
        <w:rFonts w:hint="eastAsia"/>
        <w:b/>
      </w:rPr>
      <w:t xml:space="preserve">                谈判文件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rPr>
      <w:t>安徽省永丰粮食购销有限公司2.5万吨粮食仓储设施项目机械通风设备采购及安装工程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20809"/>
    <w:multiLevelType w:val="singleLevel"/>
    <w:tmpl w:val="2CE208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2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9EE"/>
    <w:rsid w:val="000013A1"/>
    <w:rsid w:val="0000772C"/>
    <w:rsid w:val="00013DAB"/>
    <w:rsid w:val="0001562D"/>
    <w:rsid w:val="00022BE2"/>
    <w:rsid w:val="00043F62"/>
    <w:rsid w:val="00044A20"/>
    <w:rsid w:val="00081FC4"/>
    <w:rsid w:val="00085564"/>
    <w:rsid w:val="000875F1"/>
    <w:rsid w:val="000879CB"/>
    <w:rsid w:val="00094D66"/>
    <w:rsid w:val="00097016"/>
    <w:rsid w:val="000A47EE"/>
    <w:rsid w:val="000B0A52"/>
    <w:rsid w:val="000C59E1"/>
    <w:rsid w:val="000D6786"/>
    <w:rsid w:val="000E203F"/>
    <w:rsid w:val="000E2319"/>
    <w:rsid w:val="000F19EE"/>
    <w:rsid w:val="0011792C"/>
    <w:rsid w:val="001179D2"/>
    <w:rsid w:val="001325E9"/>
    <w:rsid w:val="00134E1B"/>
    <w:rsid w:val="001418A1"/>
    <w:rsid w:val="00141E85"/>
    <w:rsid w:val="00154A37"/>
    <w:rsid w:val="00156746"/>
    <w:rsid w:val="0016323B"/>
    <w:rsid w:val="00165391"/>
    <w:rsid w:val="00170A88"/>
    <w:rsid w:val="001735BB"/>
    <w:rsid w:val="0018216E"/>
    <w:rsid w:val="00187DDD"/>
    <w:rsid w:val="00191A33"/>
    <w:rsid w:val="00191B51"/>
    <w:rsid w:val="00195B61"/>
    <w:rsid w:val="001A3D7B"/>
    <w:rsid w:val="001A78EF"/>
    <w:rsid w:val="001B0CD3"/>
    <w:rsid w:val="001B77E3"/>
    <w:rsid w:val="001C4D5D"/>
    <w:rsid w:val="001D310E"/>
    <w:rsid w:val="001D7C3B"/>
    <w:rsid w:val="001E193A"/>
    <w:rsid w:val="001E5627"/>
    <w:rsid w:val="001F11B1"/>
    <w:rsid w:val="001F4B8E"/>
    <w:rsid w:val="001F7E01"/>
    <w:rsid w:val="00214820"/>
    <w:rsid w:val="00223757"/>
    <w:rsid w:val="00227B0A"/>
    <w:rsid w:val="002579DE"/>
    <w:rsid w:val="00262863"/>
    <w:rsid w:val="0026577D"/>
    <w:rsid w:val="00276E8D"/>
    <w:rsid w:val="00281563"/>
    <w:rsid w:val="00285A56"/>
    <w:rsid w:val="00285E86"/>
    <w:rsid w:val="00294848"/>
    <w:rsid w:val="00296850"/>
    <w:rsid w:val="002A3AE0"/>
    <w:rsid w:val="002A3C01"/>
    <w:rsid w:val="002A4C33"/>
    <w:rsid w:val="002A5BDA"/>
    <w:rsid w:val="002B0A3B"/>
    <w:rsid w:val="002B202E"/>
    <w:rsid w:val="002B38DD"/>
    <w:rsid w:val="002B475D"/>
    <w:rsid w:val="002B4C47"/>
    <w:rsid w:val="002B6049"/>
    <w:rsid w:val="002C0F66"/>
    <w:rsid w:val="002C413D"/>
    <w:rsid w:val="002C6A11"/>
    <w:rsid w:val="002D331A"/>
    <w:rsid w:val="002D6DE1"/>
    <w:rsid w:val="002E0315"/>
    <w:rsid w:val="002E0A0C"/>
    <w:rsid w:val="002E2C6C"/>
    <w:rsid w:val="002E3D9F"/>
    <w:rsid w:val="002F1927"/>
    <w:rsid w:val="003027C7"/>
    <w:rsid w:val="00303F60"/>
    <w:rsid w:val="00313C1B"/>
    <w:rsid w:val="00342A28"/>
    <w:rsid w:val="003518DC"/>
    <w:rsid w:val="00353505"/>
    <w:rsid w:val="00356E0C"/>
    <w:rsid w:val="003704F3"/>
    <w:rsid w:val="003838ED"/>
    <w:rsid w:val="003839B9"/>
    <w:rsid w:val="00384C3A"/>
    <w:rsid w:val="0039193D"/>
    <w:rsid w:val="00392277"/>
    <w:rsid w:val="003923F1"/>
    <w:rsid w:val="00397C0C"/>
    <w:rsid w:val="003A7F4B"/>
    <w:rsid w:val="003B22DE"/>
    <w:rsid w:val="003C19BC"/>
    <w:rsid w:val="003C4DF0"/>
    <w:rsid w:val="003D4582"/>
    <w:rsid w:val="003E1070"/>
    <w:rsid w:val="003F4981"/>
    <w:rsid w:val="00406BC5"/>
    <w:rsid w:val="0041173E"/>
    <w:rsid w:val="0041496A"/>
    <w:rsid w:val="0042322C"/>
    <w:rsid w:val="00427CD5"/>
    <w:rsid w:val="00430B87"/>
    <w:rsid w:val="004314EA"/>
    <w:rsid w:val="004350C6"/>
    <w:rsid w:val="00441D08"/>
    <w:rsid w:val="00443086"/>
    <w:rsid w:val="00443A1D"/>
    <w:rsid w:val="00446ECA"/>
    <w:rsid w:val="00452C52"/>
    <w:rsid w:val="004535D9"/>
    <w:rsid w:val="00453A72"/>
    <w:rsid w:val="00455BD3"/>
    <w:rsid w:val="0045635E"/>
    <w:rsid w:val="004569F6"/>
    <w:rsid w:val="00456B46"/>
    <w:rsid w:val="0046063F"/>
    <w:rsid w:val="00463F09"/>
    <w:rsid w:val="00464557"/>
    <w:rsid w:val="004821BE"/>
    <w:rsid w:val="00490B39"/>
    <w:rsid w:val="004A51A4"/>
    <w:rsid w:val="004B347B"/>
    <w:rsid w:val="004C07F3"/>
    <w:rsid w:val="004C4263"/>
    <w:rsid w:val="004D09D9"/>
    <w:rsid w:val="004E18EC"/>
    <w:rsid w:val="004E3D4E"/>
    <w:rsid w:val="004E7847"/>
    <w:rsid w:val="00501BD3"/>
    <w:rsid w:val="00506678"/>
    <w:rsid w:val="0051111B"/>
    <w:rsid w:val="00513C26"/>
    <w:rsid w:val="00517248"/>
    <w:rsid w:val="00517D5E"/>
    <w:rsid w:val="00520127"/>
    <w:rsid w:val="0052447C"/>
    <w:rsid w:val="0052653F"/>
    <w:rsid w:val="0053753C"/>
    <w:rsid w:val="00543E84"/>
    <w:rsid w:val="005518D0"/>
    <w:rsid w:val="005630D4"/>
    <w:rsid w:val="00567736"/>
    <w:rsid w:val="00581700"/>
    <w:rsid w:val="00590ADB"/>
    <w:rsid w:val="005A0CE8"/>
    <w:rsid w:val="005A3BA1"/>
    <w:rsid w:val="005A4B8A"/>
    <w:rsid w:val="005B469D"/>
    <w:rsid w:val="005B623E"/>
    <w:rsid w:val="005C18D1"/>
    <w:rsid w:val="005C2652"/>
    <w:rsid w:val="005D76ED"/>
    <w:rsid w:val="005F4A22"/>
    <w:rsid w:val="006244C7"/>
    <w:rsid w:val="00625711"/>
    <w:rsid w:val="00627EB1"/>
    <w:rsid w:val="00645181"/>
    <w:rsid w:val="00647C90"/>
    <w:rsid w:val="006625AE"/>
    <w:rsid w:val="0066452A"/>
    <w:rsid w:val="0066462B"/>
    <w:rsid w:val="00670CE3"/>
    <w:rsid w:val="00677585"/>
    <w:rsid w:val="0069676E"/>
    <w:rsid w:val="0069717F"/>
    <w:rsid w:val="006979A0"/>
    <w:rsid w:val="006A7511"/>
    <w:rsid w:val="006C1CF4"/>
    <w:rsid w:val="006C2EF5"/>
    <w:rsid w:val="006D7574"/>
    <w:rsid w:val="006F600F"/>
    <w:rsid w:val="007071CB"/>
    <w:rsid w:val="00724CD5"/>
    <w:rsid w:val="00724D43"/>
    <w:rsid w:val="007264A9"/>
    <w:rsid w:val="007302D1"/>
    <w:rsid w:val="007412A7"/>
    <w:rsid w:val="00746EE6"/>
    <w:rsid w:val="00757F04"/>
    <w:rsid w:val="0077103A"/>
    <w:rsid w:val="00772B5D"/>
    <w:rsid w:val="0078056D"/>
    <w:rsid w:val="00781E79"/>
    <w:rsid w:val="007876EF"/>
    <w:rsid w:val="0079183F"/>
    <w:rsid w:val="00794DFB"/>
    <w:rsid w:val="007A652E"/>
    <w:rsid w:val="007B376E"/>
    <w:rsid w:val="007B6846"/>
    <w:rsid w:val="007C28FA"/>
    <w:rsid w:val="007E05D4"/>
    <w:rsid w:val="007E67FA"/>
    <w:rsid w:val="008067F4"/>
    <w:rsid w:val="00810E36"/>
    <w:rsid w:val="00813A34"/>
    <w:rsid w:val="00820413"/>
    <w:rsid w:val="00821E35"/>
    <w:rsid w:val="00822CCE"/>
    <w:rsid w:val="00833ECB"/>
    <w:rsid w:val="00835412"/>
    <w:rsid w:val="0083659D"/>
    <w:rsid w:val="00846527"/>
    <w:rsid w:val="008501EC"/>
    <w:rsid w:val="0085353A"/>
    <w:rsid w:val="008557A0"/>
    <w:rsid w:val="008642CB"/>
    <w:rsid w:val="00886D83"/>
    <w:rsid w:val="008879B2"/>
    <w:rsid w:val="00892407"/>
    <w:rsid w:val="00895761"/>
    <w:rsid w:val="00895DF1"/>
    <w:rsid w:val="008974BC"/>
    <w:rsid w:val="008A0E95"/>
    <w:rsid w:val="008A3159"/>
    <w:rsid w:val="008A5296"/>
    <w:rsid w:val="008A59E6"/>
    <w:rsid w:val="008A6121"/>
    <w:rsid w:val="008B52B9"/>
    <w:rsid w:val="008B5D3A"/>
    <w:rsid w:val="008C26B8"/>
    <w:rsid w:val="008C2B49"/>
    <w:rsid w:val="008D2301"/>
    <w:rsid w:val="008D6B7D"/>
    <w:rsid w:val="008E077C"/>
    <w:rsid w:val="008E13AF"/>
    <w:rsid w:val="008E43CB"/>
    <w:rsid w:val="008F71FD"/>
    <w:rsid w:val="008F7856"/>
    <w:rsid w:val="0090172E"/>
    <w:rsid w:val="009065F2"/>
    <w:rsid w:val="00911E9A"/>
    <w:rsid w:val="00915F7B"/>
    <w:rsid w:val="009229DD"/>
    <w:rsid w:val="009255F0"/>
    <w:rsid w:val="00927001"/>
    <w:rsid w:val="0092784F"/>
    <w:rsid w:val="00932621"/>
    <w:rsid w:val="00934050"/>
    <w:rsid w:val="00935E26"/>
    <w:rsid w:val="00940497"/>
    <w:rsid w:val="009406E1"/>
    <w:rsid w:val="009478E9"/>
    <w:rsid w:val="009554D8"/>
    <w:rsid w:val="0095613E"/>
    <w:rsid w:val="00956719"/>
    <w:rsid w:val="00961D48"/>
    <w:rsid w:val="00962E40"/>
    <w:rsid w:val="00977E68"/>
    <w:rsid w:val="00990206"/>
    <w:rsid w:val="00991585"/>
    <w:rsid w:val="009A1A23"/>
    <w:rsid w:val="009A7089"/>
    <w:rsid w:val="009B02ED"/>
    <w:rsid w:val="009B0B06"/>
    <w:rsid w:val="009B6C69"/>
    <w:rsid w:val="009C4644"/>
    <w:rsid w:val="009D025E"/>
    <w:rsid w:val="009E03DE"/>
    <w:rsid w:val="009E7C28"/>
    <w:rsid w:val="009F315B"/>
    <w:rsid w:val="009F4D64"/>
    <w:rsid w:val="009F70DD"/>
    <w:rsid w:val="00A041C9"/>
    <w:rsid w:val="00A108C3"/>
    <w:rsid w:val="00A12031"/>
    <w:rsid w:val="00A1300A"/>
    <w:rsid w:val="00A15AF7"/>
    <w:rsid w:val="00A1643F"/>
    <w:rsid w:val="00A37843"/>
    <w:rsid w:val="00A416F4"/>
    <w:rsid w:val="00A502B9"/>
    <w:rsid w:val="00A522F8"/>
    <w:rsid w:val="00A533C6"/>
    <w:rsid w:val="00A56825"/>
    <w:rsid w:val="00A56B19"/>
    <w:rsid w:val="00A577E5"/>
    <w:rsid w:val="00A61B82"/>
    <w:rsid w:val="00A70224"/>
    <w:rsid w:val="00A73616"/>
    <w:rsid w:val="00A7594D"/>
    <w:rsid w:val="00A91C3F"/>
    <w:rsid w:val="00A94AB9"/>
    <w:rsid w:val="00A960ED"/>
    <w:rsid w:val="00A97666"/>
    <w:rsid w:val="00AA24D0"/>
    <w:rsid w:val="00AA43E5"/>
    <w:rsid w:val="00AB3726"/>
    <w:rsid w:val="00AB4869"/>
    <w:rsid w:val="00AB6CC2"/>
    <w:rsid w:val="00AC1106"/>
    <w:rsid w:val="00AE024F"/>
    <w:rsid w:val="00AE3A51"/>
    <w:rsid w:val="00AE4417"/>
    <w:rsid w:val="00AE58E8"/>
    <w:rsid w:val="00AF1771"/>
    <w:rsid w:val="00B00DAF"/>
    <w:rsid w:val="00B05091"/>
    <w:rsid w:val="00B07ACA"/>
    <w:rsid w:val="00B10AA2"/>
    <w:rsid w:val="00B14E99"/>
    <w:rsid w:val="00B24395"/>
    <w:rsid w:val="00B2575B"/>
    <w:rsid w:val="00B44778"/>
    <w:rsid w:val="00B47C3C"/>
    <w:rsid w:val="00B57556"/>
    <w:rsid w:val="00B63207"/>
    <w:rsid w:val="00B74539"/>
    <w:rsid w:val="00B81214"/>
    <w:rsid w:val="00B91F08"/>
    <w:rsid w:val="00BB380A"/>
    <w:rsid w:val="00BB393D"/>
    <w:rsid w:val="00BC21AC"/>
    <w:rsid w:val="00BC2B68"/>
    <w:rsid w:val="00BC5FA3"/>
    <w:rsid w:val="00BD52D5"/>
    <w:rsid w:val="00BE4874"/>
    <w:rsid w:val="00BE4D46"/>
    <w:rsid w:val="00BF1317"/>
    <w:rsid w:val="00BF17D9"/>
    <w:rsid w:val="00C0287F"/>
    <w:rsid w:val="00C10F69"/>
    <w:rsid w:val="00C116BF"/>
    <w:rsid w:val="00C17C0C"/>
    <w:rsid w:val="00C23FCC"/>
    <w:rsid w:val="00C25DED"/>
    <w:rsid w:val="00C3022B"/>
    <w:rsid w:val="00C475A2"/>
    <w:rsid w:val="00C5456B"/>
    <w:rsid w:val="00C7014A"/>
    <w:rsid w:val="00C73DF2"/>
    <w:rsid w:val="00C840DC"/>
    <w:rsid w:val="00C84501"/>
    <w:rsid w:val="00C91F60"/>
    <w:rsid w:val="00C930A6"/>
    <w:rsid w:val="00C95444"/>
    <w:rsid w:val="00CA3412"/>
    <w:rsid w:val="00CA4F44"/>
    <w:rsid w:val="00CB2ECF"/>
    <w:rsid w:val="00CB66F3"/>
    <w:rsid w:val="00CC210F"/>
    <w:rsid w:val="00CC5AA8"/>
    <w:rsid w:val="00CD3A99"/>
    <w:rsid w:val="00CD46E0"/>
    <w:rsid w:val="00CD575E"/>
    <w:rsid w:val="00CD588F"/>
    <w:rsid w:val="00CE298B"/>
    <w:rsid w:val="00CF720A"/>
    <w:rsid w:val="00D100A2"/>
    <w:rsid w:val="00D10DF2"/>
    <w:rsid w:val="00D16290"/>
    <w:rsid w:val="00D17CB6"/>
    <w:rsid w:val="00D26150"/>
    <w:rsid w:val="00D3788B"/>
    <w:rsid w:val="00D4307E"/>
    <w:rsid w:val="00D4665B"/>
    <w:rsid w:val="00D51588"/>
    <w:rsid w:val="00D540A7"/>
    <w:rsid w:val="00D55D55"/>
    <w:rsid w:val="00D600C6"/>
    <w:rsid w:val="00D6206D"/>
    <w:rsid w:val="00D74697"/>
    <w:rsid w:val="00D75EF5"/>
    <w:rsid w:val="00D86CD8"/>
    <w:rsid w:val="00D91D7D"/>
    <w:rsid w:val="00D91FBB"/>
    <w:rsid w:val="00DB1302"/>
    <w:rsid w:val="00DC0D64"/>
    <w:rsid w:val="00DC6936"/>
    <w:rsid w:val="00DD0BE5"/>
    <w:rsid w:val="00DE45D1"/>
    <w:rsid w:val="00DF28D9"/>
    <w:rsid w:val="00DF3DFD"/>
    <w:rsid w:val="00DF6112"/>
    <w:rsid w:val="00E02088"/>
    <w:rsid w:val="00E106FC"/>
    <w:rsid w:val="00E14E70"/>
    <w:rsid w:val="00E31AB5"/>
    <w:rsid w:val="00E325A2"/>
    <w:rsid w:val="00E506E8"/>
    <w:rsid w:val="00E50B6E"/>
    <w:rsid w:val="00E52986"/>
    <w:rsid w:val="00E6234A"/>
    <w:rsid w:val="00E763C3"/>
    <w:rsid w:val="00E76C30"/>
    <w:rsid w:val="00E84B8D"/>
    <w:rsid w:val="00E9244B"/>
    <w:rsid w:val="00E94EFA"/>
    <w:rsid w:val="00EB77AB"/>
    <w:rsid w:val="00EC4B43"/>
    <w:rsid w:val="00ED4E53"/>
    <w:rsid w:val="00EE23DA"/>
    <w:rsid w:val="00F038FD"/>
    <w:rsid w:val="00F058C5"/>
    <w:rsid w:val="00F06452"/>
    <w:rsid w:val="00F10C02"/>
    <w:rsid w:val="00F16E32"/>
    <w:rsid w:val="00F2731B"/>
    <w:rsid w:val="00F34D85"/>
    <w:rsid w:val="00F42FA5"/>
    <w:rsid w:val="00F438A9"/>
    <w:rsid w:val="00F43E7D"/>
    <w:rsid w:val="00F447BE"/>
    <w:rsid w:val="00F473B9"/>
    <w:rsid w:val="00F63D69"/>
    <w:rsid w:val="00F6633E"/>
    <w:rsid w:val="00F66CCE"/>
    <w:rsid w:val="00F66FE1"/>
    <w:rsid w:val="00F76262"/>
    <w:rsid w:val="00F7755E"/>
    <w:rsid w:val="00F84A70"/>
    <w:rsid w:val="00F90F8B"/>
    <w:rsid w:val="00F95129"/>
    <w:rsid w:val="00FA2254"/>
    <w:rsid w:val="00FA2A39"/>
    <w:rsid w:val="00FA4E4F"/>
    <w:rsid w:val="00FB0C1D"/>
    <w:rsid w:val="00FB6AA6"/>
    <w:rsid w:val="00FC33D8"/>
    <w:rsid w:val="00FD6E4E"/>
    <w:rsid w:val="00FE6433"/>
    <w:rsid w:val="00FF119D"/>
    <w:rsid w:val="00FF5639"/>
    <w:rsid w:val="00FF67C6"/>
    <w:rsid w:val="0252011E"/>
    <w:rsid w:val="033865D6"/>
    <w:rsid w:val="058A6B81"/>
    <w:rsid w:val="06D61755"/>
    <w:rsid w:val="06DF00E4"/>
    <w:rsid w:val="079E1E85"/>
    <w:rsid w:val="07E4265B"/>
    <w:rsid w:val="096E7B3F"/>
    <w:rsid w:val="099E7C1E"/>
    <w:rsid w:val="0AAD548D"/>
    <w:rsid w:val="0B5B5ACC"/>
    <w:rsid w:val="0B86073C"/>
    <w:rsid w:val="0CFC6EB8"/>
    <w:rsid w:val="0EBA54D8"/>
    <w:rsid w:val="0EBC472A"/>
    <w:rsid w:val="0EEB1B90"/>
    <w:rsid w:val="10940172"/>
    <w:rsid w:val="10A67934"/>
    <w:rsid w:val="12950C78"/>
    <w:rsid w:val="195233D8"/>
    <w:rsid w:val="1AFB79B8"/>
    <w:rsid w:val="1D1451D0"/>
    <w:rsid w:val="1D48147B"/>
    <w:rsid w:val="1F337530"/>
    <w:rsid w:val="217042EE"/>
    <w:rsid w:val="2945566B"/>
    <w:rsid w:val="29CE0718"/>
    <w:rsid w:val="2BB3665E"/>
    <w:rsid w:val="2BD542BC"/>
    <w:rsid w:val="2CB21B1C"/>
    <w:rsid w:val="2DAC31D6"/>
    <w:rsid w:val="2F065768"/>
    <w:rsid w:val="2FA33B86"/>
    <w:rsid w:val="30475DCA"/>
    <w:rsid w:val="30D8379C"/>
    <w:rsid w:val="30E713C4"/>
    <w:rsid w:val="30FD2764"/>
    <w:rsid w:val="3513659F"/>
    <w:rsid w:val="378E0AB1"/>
    <w:rsid w:val="38A14F94"/>
    <w:rsid w:val="38C56C62"/>
    <w:rsid w:val="38F63F72"/>
    <w:rsid w:val="3B3150ED"/>
    <w:rsid w:val="3B624275"/>
    <w:rsid w:val="3CCC6CDE"/>
    <w:rsid w:val="3E860AB3"/>
    <w:rsid w:val="3E8A7378"/>
    <w:rsid w:val="3F0F1DB7"/>
    <w:rsid w:val="418F6A35"/>
    <w:rsid w:val="425D16EB"/>
    <w:rsid w:val="43BD7D41"/>
    <w:rsid w:val="4752637F"/>
    <w:rsid w:val="4A752F88"/>
    <w:rsid w:val="4A90776B"/>
    <w:rsid w:val="4C755D4F"/>
    <w:rsid w:val="4D6322E4"/>
    <w:rsid w:val="4DCD1E49"/>
    <w:rsid w:val="52BA5404"/>
    <w:rsid w:val="52E64627"/>
    <w:rsid w:val="53451569"/>
    <w:rsid w:val="570474B2"/>
    <w:rsid w:val="5787774B"/>
    <w:rsid w:val="58142926"/>
    <w:rsid w:val="5B196203"/>
    <w:rsid w:val="61237357"/>
    <w:rsid w:val="65E2194E"/>
    <w:rsid w:val="66317E5A"/>
    <w:rsid w:val="6AD63D43"/>
    <w:rsid w:val="6C2B47D0"/>
    <w:rsid w:val="72F21466"/>
    <w:rsid w:val="76BD5205"/>
    <w:rsid w:val="76D43582"/>
    <w:rsid w:val="774154D9"/>
    <w:rsid w:val="77514610"/>
    <w:rsid w:val="7821643B"/>
    <w:rsid w:val="7A022BF2"/>
    <w:rsid w:val="7B9C4DB2"/>
    <w:rsid w:val="7BD274CD"/>
    <w:rsid w:val="7C4E5657"/>
    <w:rsid w:val="7C9312A1"/>
    <w:rsid w:val="7F8908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5"/>
    <w:link w:val="26"/>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qFormat/>
    <w:uiPriority w:val="0"/>
    <w:pPr>
      <w:ind w:left="600" w:leftChars="600"/>
    </w:pPr>
    <w:rPr>
      <w:szCs w:val="24"/>
    </w:rPr>
  </w:style>
  <w:style w:type="paragraph" w:styleId="5">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6">
    <w:name w:val="Document Map"/>
    <w:basedOn w:val="1"/>
    <w:link w:val="37"/>
    <w:semiHidden/>
    <w:qFormat/>
    <w:uiPriority w:val="0"/>
    <w:pPr>
      <w:shd w:val="clear" w:color="auto" w:fill="000080"/>
    </w:pPr>
    <w:rPr>
      <w:rFonts w:ascii="Times New Roman" w:hAnsi="Times New Roman" w:eastAsia="宋体" w:cs="Times New Roman"/>
      <w:kern w:val="0"/>
      <w:sz w:val="24"/>
      <w:szCs w:val="24"/>
    </w:rPr>
  </w:style>
  <w:style w:type="paragraph" w:styleId="7">
    <w:name w:val="annotation text"/>
    <w:basedOn w:val="1"/>
    <w:unhideWhenUsed/>
    <w:qFormat/>
    <w:uiPriority w:val="0"/>
    <w:pPr>
      <w:jc w:val="left"/>
    </w:pPr>
  </w:style>
  <w:style w:type="paragraph" w:styleId="8">
    <w:name w:val="Body Text"/>
    <w:basedOn w:val="1"/>
    <w:link w:val="32"/>
    <w:qFormat/>
    <w:uiPriority w:val="0"/>
    <w:rPr>
      <w:rFonts w:ascii="Times New Roman" w:hAnsi="Times New Roman" w:eastAsia="宋体" w:cs="Times New Roman"/>
      <w:kern w:val="0"/>
      <w:szCs w:val="24"/>
    </w:rPr>
  </w:style>
  <w:style w:type="paragraph" w:styleId="9">
    <w:name w:val="Body Text Indent"/>
    <w:basedOn w:val="1"/>
    <w:link w:val="31"/>
    <w:qFormat/>
    <w:uiPriority w:val="0"/>
    <w:pPr>
      <w:ind w:firstLine="555"/>
    </w:pPr>
    <w:rPr>
      <w:rFonts w:ascii="Times New Roman" w:hAnsi="Times New Roman" w:eastAsia="宋体" w:cs="Times New Roman"/>
      <w:kern w:val="0"/>
      <w:sz w:val="24"/>
      <w:szCs w:val="24"/>
    </w:rPr>
  </w:style>
  <w:style w:type="paragraph" w:styleId="10">
    <w:name w:val="Plain Text"/>
    <w:basedOn w:val="1"/>
    <w:link w:val="38"/>
    <w:qFormat/>
    <w:uiPriority w:val="0"/>
    <w:rPr>
      <w:rFonts w:ascii="宋体" w:hAnsi="Courier New" w:eastAsia="宋体" w:cs="Courier New"/>
      <w:sz w:val="24"/>
      <w:szCs w:val="21"/>
    </w:rPr>
  </w:style>
  <w:style w:type="paragraph" w:styleId="11">
    <w:name w:val="Body Text Indent 2"/>
    <w:basedOn w:val="1"/>
    <w:link w:val="30"/>
    <w:qFormat/>
    <w:uiPriority w:val="0"/>
    <w:pPr>
      <w:spacing w:line="540" w:lineRule="exact"/>
      <w:ind w:firstLine="630"/>
    </w:pPr>
    <w:rPr>
      <w:rFonts w:ascii="Times New Roman" w:hAnsi="Times New Roman" w:eastAsia="宋体" w:cs="Times New Roman"/>
      <w:kern w:val="0"/>
      <w:sz w:val="24"/>
      <w:szCs w:val="24"/>
    </w:rPr>
  </w:style>
  <w:style w:type="paragraph" w:styleId="12">
    <w:name w:val="Balloon Text"/>
    <w:basedOn w:val="1"/>
    <w:link w:val="39"/>
    <w:semiHidden/>
    <w:qFormat/>
    <w:uiPriority w:val="0"/>
    <w:rPr>
      <w:rFonts w:ascii="Times New Roman" w:hAnsi="Times New Roman" w:eastAsia="宋体" w:cs="Times New Roman"/>
      <w:kern w:val="0"/>
      <w:sz w:val="18"/>
      <w:szCs w:val="18"/>
    </w:rPr>
  </w:style>
  <w:style w:type="paragraph" w:styleId="13">
    <w:name w:val="footer"/>
    <w:basedOn w:val="1"/>
    <w:link w:val="28"/>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5">
    <w:name w:val="toc 1"/>
    <w:basedOn w:val="1"/>
    <w:next w:val="1"/>
    <w:semiHidden/>
    <w:qFormat/>
    <w:uiPriority w:val="0"/>
    <w:pPr>
      <w:tabs>
        <w:tab w:val="right" w:leader="dot" w:pos="8658"/>
      </w:tabs>
      <w:ind w:left="935" w:leftChars="400"/>
    </w:pPr>
    <w:rPr>
      <w:rFonts w:ascii="Times New Roman" w:hAnsi="Times New Roman" w:eastAsia="宋体" w:cs="Times New Roman"/>
      <w:kern w:val="0"/>
      <w:sz w:val="24"/>
      <w:szCs w:val="24"/>
    </w:rPr>
  </w:style>
  <w:style w:type="paragraph" w:styleId="16">
    <w:name w:val="Body Text 2"/>
    <w:basedOn w:val="1"/>
    <w:link w:val="33"/>
    <w:qFormat/>
    <w:uiPriority w:val="0"/>
    <w:pPr>
      <w:jc w:val="center"/>
    </w:pPr>
    <w:rPr>
      <w:rFonts w:ascii="Times New Roman" w:hAnsi="Times New Roman" w:eastAsia="宋体" w:cs="Times New Roman"/>
      <w:kern w:val="0"/>
      <w:szCs w:val="24"/>
    </w:rPr>
  </w:style>
  <w:style w:type="paragraph" w:styleId="17">
    <w:name w:val="index 1"/>
    <w:basedOn w:val="1"/>
    <w:next w:val="1"/>
    <w:semiHidden/>
    <w:qFormat/>
    <w:uiPriority w:val="0"/>
    <w:rPr>
      <w:rFonts w:ascii="Times New Roman" w:hAnsi="Times New Roman" w:eastAsia="宋体" w:cs="Times New Roman"/>
      <w:kern w:val="0"/>
      <w:sz w:val="24"/>
      <w:szCs w:val="24"/>
    </w:rPr>
  </w:style>
  <w:style w:type="paragraph" w:styleId="18">
    <w:name w:val="Body Text First Indent 2"/>
    <w:basedOn w:val="9"/>
    <w:link w:val="53"/>
    <w:semiHidden/>
    <w:unhideWhenUsed/>
    <w:qFormat/>
    <w:uiPriority w:val="99"/>
    <w:pPr>
      <w:spacing w:after="120"/>
      <w:ind w:left="420" w:leftChars="200" w:firstLine="420" w:firstLineChars="200"/>
    </w:pPr>
    <w:rPr>
      <w:rFonts w:asciiTheme="minorHAnsi" w:hAnsiTheme="minorHAnsi" w:eastAsiaTheme="minorEastAsia" w:cstheme="minorBidi"/>
      <w:kern w:val="2"/>
      <w:sz w:val="21"/>
      <w:szCs w:val="22"/>
    </w:rPr>
  </w:style>
  <w:style w:type="table" w:styleId="20">
    <w:name w:val="Table Grid"/>
    <w:basedOn w:val="19"/>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2">
    <w:name w:val="page number"/>
    <w:basedOn w:val="21"/>
    <w:qFormat/>
    <w:uiPriority w:val="0"/>
    <w:rPr>
      <w:rFonts w:cs="Times New Roman"/>
    </w:rPr>
  </w:style>
  <w:style w:type="character" w:styleId="23">
    <w:name w:val="Hyperlink"/>
    <w:basedOn w:val="21"/>
    <w:qFormat/>
    <w:uiPriority w:val="0"/>
    <w:rPr>
      <w:rFonts w:cs="Times New Roman"/>
      <w:color w:val="0000FF"/>
      <w:u w:val="single"/>
    </w:rPr>
  </w:style>
  <w:style w:type="character" w:styleId="24">
    <w:name w:val="annotation reference"/>
    <w:qFormat/>
    <w:uiPriority w:val="0"/>
    <w:rPr>
      <w:sz w:val="21"/>
    </w:rPr>
  </w:style>
  <w:style w:type="character" w:customStyle="1" w:styleId="25">
    <w:name w:val="标题 1 Char"/>
    <w:basedOn w:val="21"/>
    <w:link w:val="3"/>
    <w:qFormat/>
    <w:uiPriority w:val="0"/>
    <w:rPr>
      <w:rFonts w:ascii="Times New Roman" w:hAnsi="Times New Roman" w:eastAsia="宋体" w:cs="Times New Roman"/>
      <w:b/>
      <w:bCs/>
      <w:kern w:val="44"/>
      <w:sz w:val="44"/>
      <w:szCs w:val="44"/>
    </w:rPr>
  </w:style>
  <w:style w:type="character" w:customStyle="1" w:styleId="26">
    <w:name w:val="标题 2 Char"/>
    <w:basedOn w:val="21"/>
    <w:link w:val="4"/>
    <w:qFormat/>
    <w:uiPriority w:val="0"/>
    <w:rPr>
      <w:rFonts w:ascii="Arial" w:hAnsi="Arial" w:eastAsia="黑体" w:cs="Times New Roman"/>
      <w:b/>
      <w:kern w:val="0"/>
      <w:sz w:val="32"/>
      <w:szCs w:val="20"/>
    </w:rPr>
  </w:style>
  <w:style w:type="character" w:customStyle="1" w:styleId="27">
    <w:name w:val="页眉 Char"/>
    <w:basedOn w:val="21"/>
    <w:link w:val="14"/>
    <w:qFormat/>
    <w:uiPriority w:val="0"/>
    <w:rPr>
      <w:rFonts w:ascii="Times New Roman" w:hAnsi="Times New Roman" w:eastAsia="宋体" w:cs="Times New Roman"/>
      <w:kern w:val="0"/>
      <w:sz w:val="18"/>
      <w:szCs w:val="18"/>
    </w:rPr>
  </w:style>
  <w:style w:type="character" w:customStyle="1" w:styleId="28">
    <w:name w:val="页脚 Char"/>
    <w:basedOn w:val="21"/>
    <w:link w:val="13"/>
    <w:qFormat/>
    <w:uiPriority w:val="0"/>
    <w:rPr>
      <w:rFonts w:ascii="Times New Roman" w:hAnsi="Times New Roman" w:eastAsia="宋体" w:cs="Times New Roman"/>
      <w:kern w:val="0"/>
      <w:sz w:val="18"/>
      <w:szCs w:val="18"/>
    </w:rPr>
  </w:style>
  <w:style w:type="paragraph" w:customStyle="1" w:styleId="29">
    <w:name w:val="正文文字缩进"/>
    <w:qFormat/>
    <w:uiPriority w:val="0"/>
    <w:pPr>
      <w:spacing w:line="351" w:lineRule="atLeast"/>
      <w:ind w:firstLine="555"/>
      <w:textAlignment w:val="baseline"/>
    </w:pPr>
    <w:rPr>
      <w:rFonts w:ascii="Times New Roman" w:hAnsi="Times New Roman" w:eastAsia="宋体" w:cs="Times New Roman"/>
      <w:color w:val="000000"/>
      <w:sz w:val="28"/>
      <w:u w:color="000000"/>
      <w:lang w:val="en-US" w:eastAsia="zh-CN" w:bidi="ar-SA"/>
    </w:rPr>
  </w:style>
  <w:style w:type="character" w:customStyle="1" w:styleId="30">
    <w:name w:val="正文文本缩进 2 Char"/>
    <w:basedOn w:val="21"/>
    <w:link w:val="11"/>
    <w:qFormat/>
    <w:uiPriority w:val="0"/>
    <w:rPr>
      <w:rFonts w:ascii="Times New Roman" w:hAnsi="Times New Roman" w:eastAsia="宋体" w:cs="Times New Roman"/>
      <w:kern w:val="0"/>
      <w:sz w:val="24"/>
      <w:szCs w:val="24"/>
    </w:rPr>
  </w:style>
  <w:style w:type="character" w:customStyle="1" w:styleId="31">
    <w:name w:val="正文文本缩进 Char"/>
    <w:basedOn w:val="21"/>
    <w:link w:val="9"/>
    <w:qFormat/>
    <w:uiPriority w:val="0"/>
    <w:rPr>
      <w:rFonts w:ascii="Times New Roman" w:hAnsi="Times New Roman" w:eastAsia="宋体" w:cs="Times New Roman"/>
      <w:kern w:val="0"/>
      <w:sz w:val="24"/>
      <w:szCs w:val="24"/>
    </w:rPr>
  </w:style>
  <w:style w:type="character" w:customStyle="1" w:styleId="32">
    <w:name w:val="正文文本 Char"/>
    <w:basedOn w:val="21"/>
    <w:link w:val="8"/>
    <w:qFormat/>
    <w:uiPriority w:val="0"/>
    <w:rPr>
      <w:rFonts w:ascii="Times New Roman" w:hAnsi="Times New Roman" w:eastAsia="宋体" w:cs="Times New Roman"/>
      <w:kern w:val="0"/>
      <w:szCs w:val="24"/>
    </w:rPr>
  </w:style>
  <w:style w:type="character" w:customStyle="1" w:styleId="33">
    <w:name w:val="正文文本 2 Char"/>
    <w:basedOn w:val="21"/>
    <w:link w:val="16"/>
    <w:qFormat/>
    <w:uiPriority w:val="0"/>
    <w:rPr>
      <w:rFonts w:ascii="Times New Roman" w:hAnsi="Times New Roman" w:eastAsia="宋体" w:cs="Times New Roman"/>
      <w:kern w:val="0"/>
      <w:szCs w:val="24"/>
    </w:rPr>
  </w:style>
  <w:style w:type="paragraph" w:customStyle="1" w:styleId="34">
    <w:name w:val="样式1"/>
    <w:basedOn w:val="3"/>
    <w:qFormat/>
    <w:uiPriority w:val="0"/>
    <w:pPr>
      <w:spacing w:line="640" w:lineRule="exact"/>
      <w:jc w:val="center"/>
    </w:pPr>
    <w:rPr>
      <w:rFonts w:ascii="方正小标宋简体" w:hAnsi="华文中宋" w:eastAsia="方正小标宋简体"/>
      <w:b w:val="0"/>
    </w:rPr>
  </w:style>
  <w:style w:type="paragraph" w:customStyle="1" w:styleId="35">
    <w:name w:val="样式2"/>
    <w:basedOn w:val="3"/>
    <w:qFormat/>
    <w:uiPriority w:val="0"/>
    <w:pPr>
      <w:spacing w:line="640" w:lineRule="exact"/>
      <w:jc w:val="center"/>
    </w:pPr>
    <w:rPr>
      <w:rFonts w:ascii="方正小标宋简体" w:hAnsi="华文中宋" w:eastAsia="方正小标宋简体"/>
      <w:b w:val="0"/>
    </w:rPr>
  </w:style>
  <w:style w:type="paragraph" w:customStyle="1" w:styleId="36">
    <w:name w:val="样式3"/>
    <w:basedOn w:val="3"/>
    <w:qFormat/>
    <w:uiPriority w:val="0"/>
    <w:pPr>
      <w:spacing w:line="640" w:lineRule="exact"/>
      <w:jc w:val="center"/>
    </w:pPr>
    <w:rPr>
      <w:rFonts w:ascii="方正小标宋简体" w:hAnsi="华文中宋" w:eastAsia="方正小标宋简体"/>
      <w:b w:val="0"/>
    </w:rPr>
  </w:style>
  <w:style w:type="character" w:customStyle="1" w:styleId="37">
    <w:name w:val="文档结构图 Char"/>
    <w:basedOn w:val="21"/>
    <w:link w:val="6"/>
    <w:semiHidden/>
    <w:qFormat/>
    <w:uiPriority w:val="0"/>
    <w:rPr>
      <w:rFonts w:ascii="Times New Roman" w:hAnsi="Times New Roman" w:eastAsia="宋体" w:cs="Times New Roman"/>
      <w:kern w:val="0"/>
      <w:sz w:val="24"/>
      <w:szCs w:val="24"/>
      <w:shd w:val="clear" w:color="auto" w:fill="000080"/>
    </w:rPr>
  </w:style>
  <w:style w:type="character" w:customStyle="1" w:styleId="38">
    <w:name w:val="纯文本 Char"/>
    <w:basedOn w:val="21"/>
    <w:link w:val="10"/>
    <w:qFormat/>
    <w:uiPriority w:val="0"/>
    <w:rPr>
      <w:rFonts w:ascii="宋体" w:hAnsi="Courier New" w:eastAsia="宋体" w:cs="Courier New"/>
      <w:sz w:val="24"/>
      <w:szCs w:val="21"/>
    </w:rPr>
  </w:style>
  <w:style w:type="character" w:customStyle="1" w:styleId="39">
    <w:name w:val="批注框文本 Char"/>
    <w:basedOn w:val="21"/>
    <w:link w:val="12"/>
    <w:semiHidden/>
    <w:qFormat/>
    <w:uiPriority w:val="0"/>
    <w:rPr>
      <w:rFonts w:ascii="Times New Roman" w:hAnsi="Times New Roman" w:eastAsia="宋体" w:cs="Times New Roman"/>
      <w:kern w:val="0"/>
      <w:sz w:val="18"/>
      <w:szCs w:val="18"/>
    </w:rPr>
  </w:style>
  <w:style w:type="paragraph" w:customStyle="1" w:styleId="40">
    <w:name w:val="列出段落1"/>
    <w:basedOn w:val="1"/>
    <w:link w:val="44"/>
    <w:qFormat/>
    <w:uiPriority w:val="0"/>
    <w:pPr>
      <w:widowControl/>
      <w:ind w:left="720" w:firstLine="360"/>
      <w:jc w:val="left"/>
    </w:pPr>
    <w:rPr>
      <w:rFonts w:ascii="Calibri" w:hAnsi="Calibri" w:eastAsia="宋体" w:cs="Times New Roman"/>
      <w:kern w:val="0"/>
      <w:sz w:val="22"/>
      <w:szCs w:val="20"/>
      <w:lang w:eastAsia="en-US"/>
    </w:rPr>
  </w:style>
  <w:style w:type="paragraph" w:customStyle="1" w:styleId="41">
    <w:name w:val="1111111199999"/>
    <w:basedOn w:val="1"/>
    <w:link w:val="42"/>
    <w:qFormat/>
    <w:uiPriority w:val="0"/>
    <w:pPr>
      <w:widowControl/>
      <w:spacing w:beforeLines="50" w:line="240" w:lineRule="exact"/>
      <w:ind w:firstLine="514" w:firstLineChars="214"/>
      <w:jc w:val="left"/>
    </w:pPr>
    <w:rPr>
      <w:rFonts w:ascii="Times New Roman" w:hAnsi="Times New Roman" w:eastAsia="宋体" w:cs="Times New Roman"/>
      <w:kern w:val="0"/>
      <w:szCs w:val="20"/>
    </w:rPr>
  </w:style>
  <w:style w:type="character" w:customStyle="1" w:styleId="42">
    <w:name w:val="1111111199999 Char"/>
    <w:link w:val="41"/>
    <w:qFormat/>
    <w:locked/>
    <w:uiPriority w:val="0"/>
    <w:rPr>
      <w:rFonts w:ascii="Times New Roman" w:hAnsi="Times New Roman" w:eastAsia="宋体" w:cs="Times New Roman"/>
      <w:kern w:val="0"/>
      <w:szCs w:val="20"/>
    </w:rPr>
  </w:style>
  <w:style w:type="character" w:customStyle="1" w:styleId="43">
    <w:name w:val="apple-style-span"/>
    <w:qFormat/>
    <w:uiPriority w:val="0"/>
  </w:style>
  <w:style w:type="character" w:customStyle="1" w:styleId="44">
    <w:name w:val="List Paragraph Char"/>
    <w:link w:val="40"/>
    <w:qFormat/>
    <w:locked/>
    <w:uiPriority w:val="0"/>
    <w:rPr>
      <w:rFonts w:ascii="Calibri" w:hAnsi="Calibri" w:eastAsia="宋体" w:cs="Times New Roman"/>
      <w:kern w:val="0"/>
      <w:sz w:val="22"/>
      <w:szCs w:val="20"/>
      <w:lang w:eastAsia="en-US"/>
    </w:rPr>
  </w:style>
  <w:style w:type="paragraph" w:customStyle="1" w:styleId="45">
    <w:name w:val="Char Char Char Char"/>
    <w:basedOn w:val="1"/>
    <w:qFormat/>
    <w:uiPriority w:val="0"/>
    <w:rPr>
      <w:rFonts w:ascii="Times New Roman" w:hAnsi="Times New Roman" w:eastAsia="宋体" w:cs="Times New Roman"/>
      <w:sz w:val="24"/>
      <w:szCs w:val="36"/>
    </w:rPr>
  </w:style>
  <w:style w:type="character" w:customStyle="1" w:styleId="46">
    <w:name w:val="Char Char4"/>
    <w:qFormat/>
    <w:locked/>
    <w:uiPriority w:val="0"/>
    <w:rPr>
      <w:rFonts w:ascii="宋体" w:hAnsi="Courier New" w:eastAsia="宋体"/>
      <w:kern w:val="2"/>
      <w:sz w:val="21"/>
      <w:lang w:bidi="ar-SA"/>
    </w:rPr>
  </w:style>
  <w:style w:type="character" w:customStyle="1" w:styleId="47">
    <w:name w:val="样式 (中文) 仿宋_GB2312 三号"/>
    <w:basedOn w:val="21"/>
    <w:qFormat/>
    <w:uiPriority w:val="0"/>
    <w:rPr>
      <w:rFonts w:hint="eastAsia" w:ascii="仿宋_GB2312" w:eastAsia="仿宋_GB2312"/>
      <w:sz w:val="32"/>
    </w:rPr>
  </w:style>
  <w:style w:type="character" w:customStyle="1" w:styleId="48">
    <w:name w:val="Char Char3"/>
    <w:basedOn w:val="21"/>
    <w:qFormat/>
    <w:locked/>
    <w:uiPriority w:val="0"/>
    <w:rPr>
      <w:rFonts w:ascii="宋体" w:hAnsi="宋体" w:eastAsia="宋体"/>
      <w:sz w:val="18"/>
      <w:szCs w:val="18"/>
      <w:lang w:val="en-US" w:eastAsia="zh-CN" w:bidi="ar-SA"/>
    </w:rPr>
  </w:style>
  <w:style w:type="paragraph" w:customStyle="1" w:styleId="49">
    <w:name w:val="_Style 1"/>
    <w:basedOn w:val="1"/>
    <w:qFormat/>
    <w:uiPriority w:val="99"/>
    <w:pPr>
      <w:ind w:firstLine="420" w:firstLineChars="200"/>
    </w:pPr>
  </w:style>
  <w:style w:type="paragraph" w:styleId="50">
    <w:name w:val="List Paragraph"/>
    <w:basedOn w:val="1"/>
    <w:qFormat/>
    <w:uiPriority w:val="99"/>
    <w:pPr>
      <w:ind w:firstLine="420" w:firstLineChars="200"/>
    </w:pPr>
  </w:style>
  <w:style w:type="paragraph" w:styleId="51">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table" w:customStyle="1" w:styleId="52">
    <w:name w:val="网格型1"/>
    <w:basedOn w:val="19"/>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53">
    <w:name w:val="正文首行缩进 2 Char"/>
    <w:basedOn w:val="31"/>
    <w:link w:val="18"/>
    <w:semiHidden/>
    <w:qFormat/>
    <w:uiPriority w:val="99"/>
    <w:rPr>
      <w:kern w:val="2"/>
      <w:sz w:val="21"/>
      <w:szCs w:val="22"/>
    </w:rPr>
  </w:style>
  <w:style w:type="paragraph" w:customStyle="1" w:styleId="54">
    <w:name w:val="无间隔1"/>
    <w:basedOn w:val="1"/>
    <w:qFormat/>
    <w:uiPriority w:val="0"/>
    <w:pPr>
      <w:spacing w:line="400" w:lineRule="exact"/>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emf"/><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43"/>
    <customShpInfo spid="_x0000_s1042"/>
    <customShpInfo spid="_x0000_s1045"/>
    <customShpInfo spid="_x0000_s104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B8C6A6-A3BA-41FF-B88A-95A6D276DA0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4147</Words>
  <Characters>23639</Characters>
  <Lines>196</Lines>
  <Paragraphs>55</Paragraphs>
  <TotalTime>31</TotalTime>
  <ScaleCrop>false</ScaleCrop>
  <LinksUpToDate>false</LinksUpToDate>
  <CharactersWithSpaces>27731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2021-10-25T03:54:00Z</dcterms:created>
  <dc:creator>Administrator</dc:creator>
  <cp:lastModifiedBy>06</cp:lastModifiedBy>
  <cp:lastPrinted>2016-11-01T08:59:00Z</cp:lastPrinted>
  <dcterms:modified xsi:type="dcterms:W3CDTF">2021-10-26T02:18:25Z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8ACD8417601C43958BF5F2C61AE3429B</vt:lpwstr>
  </property>
</Properties>
</file>