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主要区块清单：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唐模老作坊区域1号店铺（面积35平方米）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唐模老作坊区域2号店铺。（面积35平方米）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rPr>
          <w:sz w:val="28"/>
          <w:szCs w:val="28"/>
        </w:rPr>
      </w:pPr>
      <w:r>
        <w:rPr>
          <w:sz w:val="28"/>
          <w:szCs w:val="28"/>
        </w:rPr>
        <w:t>唐模老作坊区域3号店铺。  (面积35平方米）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rPr>
          <w:sz w:val="28"/>
          <w:szCs w:val="28"/>
        </w:rPr>
      </w:pPr>
      <w:r>
        <w:rPr>
          <w:sz w:val="28"/>
          <w:szCs w:val="28"/>
        </w:rPr>
        <w:t>唐模老作坊区域4号店铺。（面积35平方米）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5、唐模老作坊区域5号店铺。（面积35平方米）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6、唐模老作坊区域6号店铺。（面积20平方米）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7、唐模老作坊区域7、8号店铺。（面积30平方米）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8、唐模老作坊区域9、10号店铺。（面积30平方米）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9、唐模老作坊区域12、13号店铺。（面积40平方米）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10、唐模老作坊区域15号店铺。（面积90平方米）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11、唐模老作坊区域16号店铺。（面积25平方米）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</w:rPr>
        <w:t>12、唐模东门17号店铺。（面积30平方米）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13、汪应川酒店。（面积1327平方米）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14、未标明的房产以实地现状为准</w:t>
      </w:r>
      <w:r>
        <w:rPr>
          <w:rFonts w:hint="eastAsia"/>
          <w:sz w:val="28"/>
          <w:szCs w:val="28"/>
          <w:lang w:val="en-US"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AA0D7"/>
    <w:multiLevelType w:val="singleLevel"/>
    <w:tmpl w:val="7DFAA0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DhkOTc0ZGI1MWUwMzI2ZGEzMjBiZWQ1NjY0YzMifQ=="/>
  </w:docVars>
  <w:rsids>
    <w:rsidRoot w:val="00000000"/>
    <w:rsid w:val="0C252478"/>
    <w:rsid w:val="3F2F6B8F"/>
    <w:rsid w:val="4C0118B3"/>
    <w:rsid w:val="53F42E6A"/>
    <w:rsid w:val="579E26AC"/>
    <w:rsid w:val="786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2024-04-10T09:21:36Z</dcterms:created>
  <dc:creator>tmly</dc:creator>
  <cp:lastModifiedBy>豆芽</cp:lastModifiedBy>
  <dcterms:modified xsi:type="dcterms:W3CDTF">2024-04-10T09:22:43Z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CFD0C6F4716E4DED84DF7E99E56BB967_12</vt:lpwstr>
  </property>
</Properties>
</file>